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80E" w:rsidRPr="0056780E" w:rsidRDefault="0056780E" w:rsidP="0056780E">
      <w:pPr>
        <w:spacing w:after="0" w:line="240" w:lineRule="auto"/>
        <w:rPr>
          <w:rFonts w:ascii="Times New Roman" w:eastAsia="Times New Roman" w:hAnsi="Times New Roman" w:cs="Times New Roman"/>
          <w:sz w:val="24"/>
          <w:szCs w:val="24"/>
          <w:lang w:val="en-US"/>
        </w:rPr>
      </w:pPr>
      <w:r w:rsidRPr="0056780E">
        <w:rPr>
          <w:rFonts w:ascii="Arial" w:eastAsia="Times New Roman" w:hAnsi="Arial" w:cs="Arial"/>
          <w:b/>
          <w:bCs/>
          <w:color w:val="333333"/>
          <w:sz w:val="18"/>
          <w:szCs w:val="18"/>
          <w:lang w:val="en-US"/>
        </w:rPr>
        <w:t>Pre-selected for an award: Early ovarian ageing and long-term health consequences: Is number of oocytes harvested in ART associated to an earlier and increased risk of age-related diseases?</w:t>
      </w:r>
      <w:r w:rsidRPr="0056780E">
        <w:rPr>
          <w:rFonts w:ascii="Arial" w:eastAsia="Times New Roman" w:hAnsi="Arial" w:cs="Arial"/>
          <w:color w:val="333333"/>
          <w:sz w:val="18"/>
          <w:szCs w:val="18"/>
          <w:lang w:val="en-US"/>
        </w:rPr>
        <w:br/>
      </w:r>
      <w:r w:rsidRPr="0056780E">
        <w:rPr>
          <w:rFonts w:ascii="Arial" w:eastAsia="Times New Roman" w:hAnsi="Arial" w:cs="Arial"/>
          <w:i/>
          <w:iCs/>
          <w:color w:val="333333"/>
          <w:sz w:val="18"/>
          <w:szCs w:val="18"/>
          <w:u w:val="single"/>
          <w:lang w:val="en-US"/>
        </w:rPr>
        <w:t>M.W. Christensen</w:t>
      </w:r>
      <w:r w:rsidRPr="0056780E">
        <w:rPr>
          <w:rFonts w:ascii="Arial" w:eastAsia="Times New Roman" w:hAnsi="Arial" w:cs="Arial"/>
          <w:i/>
          <w:iCs/>
          <w:color w:val="333333"/>
          <w:sz w:val="18"/>
          <w:szCs w:val="18"/>
          <w:vertAlign w:val="superscript"/>
          <w:lang w:val="en-US"/>
        </w:rPr>
        <w:t>1</w:t>
      </w:r>
      <w:r w:rsidRPr="0056780E">
        <w:rPr>
          <w:rFonts w:ascii="Arial" w:eastAsia="Times New Roman" w:hAnsi="Arial" w:cs="Arial"/>
          <w:i/>
          <w:iCs/>
          <w:color w:val="333333"/>
          <w:sz w:val="18"/>
          <w:szCs w:val="18"/>
          <w:lang w:val="en-US"/>
        </w:rPr>
        <w:t>, U.S. Kesmodel</w:t>
      </w:r>
      <w:r w:rsidRPr="0056780E">
        <w:rPr>
          <w:rFonts w:ascii="Arial" w:eastAsia="Times New Roman" w:hAnsi="Arial" w:cs="Arial"/>
          <w:i/>
          <w:iCs/>
          <w:color w:val="333333"/>
          <w:sz w:val="18"/>
          <w:szCs w:val="18"/>
          <w:vertAlign w:val="superscript"/>
          <w:lang w:val="en-US"/>
        </w:rPr>
        <w:t>2</w:t>
      </w:r>
      <w:r w:rsidRPr="0056780E">
        <w:rPr>
          <w:rFonts w:ascii="Arial" w:eastAsia="Times New Roman" w:hAnsi="Arial" w:cs="Arial"/>
          <w:i/>
          <w:iCs/>
          <w:color w:val="333333"/>
          <w:sz w:val="18"/>
          <w:szCs w:val="18"/>
          <w:lang w:val="en-US"/>
        </w:rPr>
        <w:t>, K. Kirkegaard</w:t>
      </w:r>
      <w:r w:rsidRPr="0056780E">
        <w:rPr>
          <w:rFonts w:ascii="Arial" w:eastAsia="Times New Roman" w:hAnsi="Arial" w:cs="Arial"/>
          <w:i/>
          <w:iCs/>
          <w:color w:val="333333"/>
          <w:sz w:val="18"/>
          <w:szCs w:val="18"/>
          <w:vertAlign w:val="superscript"/>
          <w:lang w:val="en-US"/>
        </w:rPr>
        <w:t>3</w:t>
      </w:r>
      <w:r w:rsidRPr="0056780E">
        <w:rPr>
          <w:rFonts w:ascii="Arial" w:eastAsia="Times New Roman" w:hAnsi="Arial" w:cs="Arial"/>
          <w:i/>
          <w:iCs/>
          <w:color w:val="333333"/>
          <w:sz w:val="18"/>
          <w:szCs w:val="18"/>
          <w:lang w:val="en-US"/>
        </w:rPr>
        <w:t>, H.J. Ingerslev</w:t>
      </w:r>
      <w:r w:rsidRPr="0056780E">
        <w:rPr>
          <w:rFonts w:ascii="Arial" w:eastAsia="Times New Roman" w:hAnsi="Arial" w:cs="Arial"/>
          <w:i/>
          <w:iCs/>
          <w:color w:val="333333"/>
          <w:sz w:val="18"/>
          <w:szCs w:val="18"/>
          <w:vertAlign w:val="superscript"/>
          <w:lang w:val="en-US"/>
        </w:rPr>
        <w:t>2</w:t>
      </w:r>
      <w:r w:rsidRPr="0056780E">
        <w:rPr>
          <w:rFonts w:ascii="Arial" w:eastAsia="Times New Roman" w:hAnsi="Arial" w:cs="Arial"/>
          <w:i/>
          <w:iCs/>
          <w:color w:val="333333"/>
          <w:sz w:val="18"/>
          <w:szCs w:val="18"/>
          <w:lang w:val="en-US"/>
        </w:rPr>
        <w:br/>
      </w:r>
      <w:r w:rsidRPr="0056780E">
        <w:rPr>
          <w:rFonts w:ascii="Arial" w:eastAsia="Times New Roman" w:hAnsi="Arial" w:cs="Arial"/>
          <w:i/>
          <w:iCs/>
          <w:color w:val="333333"/>
          <w:sz w:val="18"/>
          <w:szCs w:val="18"/>
          <w:vertAlign w:val="superscript"/>
          <w:lang w:val="en-US"/>
        </w:rPr>
        <w:t>1</w:t>
      </w:r>
      <w:r w:rsidRPr="0056780E">
        <w:rPr>
          <w:rFonts w:ascii="Arial" w:eastAsia="Times New Roman" w:hAnsi="Arial" w:cs="Arial"/>
          <w:i/>
          <w:iCs/>
          <w:color w:val="333333"/>
          <w:sz w:val="18"/>
          <w:szCs w:val="18"/>
          <w:lang w:val="en-US"/>
        </w:rPr>
        <w:t>Århus University Hospital, Obstetrics and </w:t>
      </w:r>
      <w:proofErr w:type="spellStart"/>
      <w:r w:rsidRPr="0056780E">
        <w:rPr>
          <w:rFonts w:ascii="Arial" w:eastAsia="Times New Roman" w:hAnsi="Arial" w:cs="Arial"/>
          <w:i/>
          <w:iCs/>
          <w:color w:val="333333"/>
          <w:sz w:val="18"/>
          <w:szCs w:val="18"/>
          <w:lang w:val="en-US"/>
        </w:rPr>
        <w:t>Gyneacology</w:t>
      </w:r>
      <w:proofErr w:type="spellEnd"/>
      <w:r w:rsidRPr="0056780E">
        <w:rPr>
          <w:rFonts w:ascii="Arial" w:eastAsia="Times New Roman" w:hAnsi="Arial" w:cs="Arial"/>
          <w:i/>
          <w:iCs/>
          <w:color w:val="333333"/>
          <w:sz w:val="18"/>
          <w:szCs w:val="18"/>
          <w:lang w:val="en-US"/>
        </w:rPr>
        <w:t>, Aarhus N, Denmark</w:t>
      </w:r>
      <w:r w:rsidRPr="0056780E">
        <w:rPr>
          <w:rFonts w:ascii="Arial" w:eastAsia="Times New Roman" w:hAnsi="Arial" w:cs="Arial"/>
          <w:i/>
          <w:iCs/>
          <w:color w:val="333333"/>
          <w:sz w:val="18"/>
          <w:szCs w:val="18"/>
          <w:lang w:val="en-US"/>
        </w:rPr>
        <w:br/>
      </w:r>
      <w:r w:rsidRPr="0056780E">
        <w:rPr>
          <w:rFonts w:ascii="Arial" w:eastAsia="Times New Roman" w:hAnsi="Arial" w:cs="Arial"/>
          <w:i/>
          <w:iCs/>
          <w:color w:val="333333"/>
          <w:sz w:val="18"/>
          <w:szCs w:val="18"/>
          <w:vertAlign w:val="superscript"/>
          <w:lang w:val="en-US"/>
        </w:rPr>
        <w:t>2</w:t>
      </w:r>
      <w:r w:rsidRPr="0056780E">
        <w:rPr>
          <w:rFonts w:ascii="Arial" w:eastAsia="Times New Roman" w:hAnsi="Arial" w:cs="Arial"/>
          <w:i/>
          <w:iCs/>
          <w:color w:val="333333"/>
          <w:sz w:val="18"/>
          <w:szCs w:val="18"/>
          <w:lang w:val="en-US"/>
        </w:rPr>
        <w:t>Aalborg University Hospital, Fertility Unit, Aalborg, Denmark</w:t>
      </w:r>
      <w:r w:rsidRPr="0056780E">
        <w:rPr>
          <w:rFonts w:ascii="Arial" w:eastAsia="Times New Roman" w:hAnsi="Arial" w:cs="Arial"/>
          <w:i/>
          <w:iCs/>
          <w:color w:val="333333"/>
          <w:sz w:val="18"/>
          <w:szCs w:val="18"/>
          <w:lang w:val="en-US"/>
        </w:rPr>
        <w:br/>
      </w:r>
      <w:r w:rsidRPr="0056780E">
        <w:rPr>
          <w:rFonts w:ascii="Arial" w:eastAsia="Times New Roman" w:hAnsi="Arial" w:cs="Arial"/>
          <w:i/>
          <w:iCs/>
          <w:color w:val="333333"/>
          <w:sz w:val="18"/>
          <w:szCs w:val="18"/>
          <w:vertAlign w:val="superscript"/>
          <w:lang w:val="en-US"/>
        </w:rPr>
        <w:t>3</w:t>
      </w:r>
      <w:r w:rsidRPr="0056780E">
        <w:rPr>
          <w:rFonts w:ascii="Arial" w:eastAsia="Times New Roman" w:hAnsi="Arial" w:cs="Arial"/>
          <w:i/>
          <w:iCs/>
          <w:color w:val="333333"/>
          <w:sz w:val="18"/>
          <w:szCs w:val="18"/>
          <w:lang w:val="en-US"/>
        </w:rPr>
        <w:t>Aarhus University Hospital, Obstetrics and </w:t>
      </w:r>
      <w:proofErr w:type="spellStart"/>
      <w:r w:rsidRPr="0056780E">
        <w:rPr>
          <w:rFonts w:ascii="Arial" w:eastAsia="Times New Roman" w:hAnsi="Arial" w:cs="Arial"/>
          <w:i/>
          <w:iCs/>
          <w:color w:val="333333"/>
          <w:sz w:val="18"/>
          <w:szCs w:val="18"/>
          <w:lang w:val="en-US"/>
        </w:rPr>
        <w:t>Gyneacology</w:t>
      </w:r>
      <w:proofErr w:type="spellEnd"/>
      <w:r w:rsidRPr="0056780E">
        <w:rPr>
          <w:rFonts w:ascii="Arial" w:eastAsia="Times New Roman" w:hAnsi="Arial" w:cs="Arial"/>
          <w:i/>
          <w:iCs/>
          <w:color w:val="333333"/>
          <w:sz w:val="18"/>
          <w:szCs w:val="18"/>
          <w:lang w:val="en-US"/>
        </w:rPr>
        <w:t>, Aarhus N, Denmark</w:t>
      </w:r>
      <w:r w:rsidRPr="0056780E">
        <w:rPr>
          <w:rFonts w:ascii="Arial" w:eastAsia="Times New Roman" w:hAnsi="Arial" w:cs="Arial"/>
          <w:i/>
          <w:iCs/>
          <w:color w:val="333333"/>
          <w:sz w:val="18"/>
          <w:szCs w:val="18"/>
          <w:lang w:val="en-US"/>
        </w:rPr>
        <w:br/>
      </w:r>
      <w:r w:rsidRPr="0056780E">
        <w:rPr>
          <w:rFonts w:ascii="Arial" w:eastAsia="Times New Roman" w:hAnsi="Arial" w:cs="Arial"/>
          <w:color w:val="333333"/>
          <w:sz w:val="18"/>
          <w:szCs w:val="18"/>
          <w:lang w:val="en-US"/>
        </w:rPr>
        <w:br/>
      </w:r>
      <w:r w:rsidRPr="0056780E">
        <w:rPr>
          <w:rFonts w:ascii="Arial" w:eastAsia="Times New Roman" w:hAnsi="Arial" w:cs="Arial"/>
          <w:b/>
          <w:bCs/>
          <w:color w:val="333333"/>
          <w:sz w:val="18"/>
          <w:szCs w:val="18"/>
          <w:lang w:val="en-US"/>
        </w:rPr>
        <w:t>Study question:</w:t>
      </w:r>
    </w:p>
    <w:p w:rsidR="0056780E" w:rsidRPr="0056780E" w:rsidRDefault="0056780E" w:rsidP="0056780E">
      <w:pPr>
        <w:spacing w:after="225" w:line="240" w:lineRule="auto"/>
        <w:rPr>
          <w:rFonts w:ascii="Arial" w:eastAsia="Times New Roman" w:hAnsi="Arial" w:cs="Arial"/>
          <w:color w:val="333333"/>
          <w:sz w:val="18"/>
          <w:szCs w:val="18"/>
          <w:lang w:val="en-US"/>
        </w:rPr>
      </w:pPr>
      <w:r w:rsidRPr="0056780E">
        <w:rPr>
          <w:rFonts w:ascii="Arial" w:eastAsia="Times New Roman" w:hAnsi="Arial" w:cs="Arial"/>
          <w:color w:val="333333"/>
          <w:sz w:val="18"/>
          <w:szCs w:val="18"/>
          <w:lang w:val="en-US"/>
        </w:rPr>
        <w:t>Do young women with early ovarian ageing defined as unexplained, repeatedly few oocytes harvested in ART have an increased risk of age-related diseases?</w:t>
      </w:r>
    </w:p>
    <w:p w:rsidR="0056780E" w:rsidRPr="0056780E" w:rsidRDefault="0056780E" w:rsidP="0056780E">
      <w:pPr>
        <w:spacing w:after="0" w:line="240" w:lineRule="auto"/>
        <w:rPr>
          <w:rFonts w:ascii="Times New Roman" w:eastAsia="Times New Roman" w:hAnsi="Times New Roman" w:cs="Times New Roman"/>
          <w:sz w:val="24"/>
          <w:szCs w:val="24"/>
          <w:lang w:val="en-US"/>
        </w:rPr>
      </w:pPr>
      <w:r w:rsidRPr="0056780E">
        <w:rPr>
          <w:rFonts w:ascii="Arial" w:eastAsia="Times New Roman" w:hAnsi="Arial" w:cs="Arial"/>
          <w:b/>
          <w:bCs/>
          <w:color w:val="333333"/>
          <w:sz w:val="18"/>
          <w:szCs w:val="18"/>
          <w:lang w:val="en-US"/>
        </w:rPr>
        <w:t>Summary answer:</w:t>
      </w:r>
    </w:p>
    <w:p w:rsidR="0056780E" w:rsidRPr="0056780E" w:rsidRDefault="0056780E" w:rsidP="0056780E">
      <w:pPr>
        <w:spacing w:after="225" w:line="240" w:lineRule="auto"/>
        <w:rPr>
          <w:rFonts w:ascii="Arial" w:eastAsia="Times New Roman" w:hAnsi="Arial" w:cs="Arial"/>
          <w:color w:val="333333"/>
          <w:sz w:val="18"/>
          <w:szCs w:val="18"/>
          <w:lang w:val="en-US"/>
        </w:rPr>
      </w:pPr>
      <w:r w:rsidRPr="0056780E">
        <w:rPr>
          <w:rFonts w:ascii="Arial" w:eastAsia="Times New Roman" w:hAnsi="Arial" w:cs="Arial"/>
          <w:color w:val="333333"/>
          <w:sz w:val="18"/>
          <w:szCs w:val="18"/>
          <w:lang w:val="en-US"/>
        </w:rPr>
        <w:t xml:space="preserve">At follow-up young women with idiopathic early ovarian ageing had an increased risk of </w:t>
      </w:r>
      <w:proofErr w:type="gramStart"/>
      <w:r w:rsidRPr="0056780E">
        <w:rPr>
          <w:rFonts w:ascii="Arial" w:eastAsia="Times New Roman" w:hAnsi="Arial" w:cs="Arial"/>
          <w:color w:val="333333"/>
          <w:sz w:val="18"/>
          <w:szCs w:val="18"/>
          <w:lang w:val="en-US"/>
        </w:rPr>
        <w:t>age related</w:t>
      </w:r>
      <w:proofErr w:type="gramEnd"/>
      <w:r w:rsidRPr="0056780E">
        <w:rPr>
          <w:rFonts w:ascii="Arial" w:eastAsia="Times New Roman" w:hAnsi="Arial" w:cs="Arial"/>
          <w:color w:val="333333"/>
          <w:sz w:val="18"/>
          <w:szCs w:val="18"/>
          <w:lang w:val="en-US"/>
        </w:rPr>
        <w:t xml:space="preserve"> diseases compared to young women with normal ovarian ageing.</w:t>
      </w:r>
    </w:p>
    <w:p w:rsidR="0056780E" w:rsidRPr="0056780E" w:rsidRDefault="0056780E" w:rsidP="0056780E">
      <w:pPr>
        <w:spacing w:after="0" w:line="240" w:lineRule="auto"/>
        <w:rPr>
          <w:rFonts w:ascii="Times New Roman" w:eastAsia="Times New Roman" w:hAnsi="Times New Roman" w:cs="Times New Roman"/>
          <w:sz w:val="24"/>
          <w:szCs w:val="24"/>
          <w:lang w:val="en-US"/>
        </w:rPr>
      </w:pPr>
      <w:r w:rsidRPr="0056780E">
        <w:rPr>
          <w:rFonts w:ascii="Arial" w:eastAsia="Times New Roman" w:hAnsi="Arial" w:cs="Arial"/>
          <w:b/>
          <w:bCs/>
          <w:color w:val="333333"/>
          <w:sz w:val="18"/>
          <w:szCs w:val="18"/>
          <w:lang w:val="en-US"/>
        </w:rPr>
        <w:t>What is known already:</w:t>
      </w:r>
    </w:p>
    <w:p w:rsidR="0056780E" w:rsidRPr="0056780E" w:rsidRDefault="0056780E" w:rsidP="0056780E">
      <w:pPr>
        <w:spacing w:after="225" w:line="240" w:lineRule="auto"/>
        <w:rPr>
          <w:rFonts w:ascii="Arial" w:eastAsia="Times New Roman" w:hAnsi="Arial" w:cs="Arial"/>
          <w:color w:val="333333"/>
          <w:sz w:val="18"/>
          <w:szCs w:val="18"/>
          <w:lang w:val="en-US"/>
        </w:rPr>
      </w:pPr>
      <w:r w:rsidRPr="0056780E">
        <w:rPr>
          <w:rFonts w:ascii="Arial" w:eastAsia="Times New Roman" w:hAnsi="Arial" w:cs="Arial"/>
          <w:color w:val="333333"/>
          <w:sz w:val="18"/>
          <w:szCs w:val="18"/>
          <w:lang w:val="en-US"/>
        </w:rPr>
        <w:t>Early and premature menopause is associated with an increased risk of cardiovascular diseases (CVD), osteoporosis and death. Identifying women at risk may thus allow early preventive health initiatives. Repeatedly few oocytes harvested in well stimulated assisted reproductive technology (ART) cycles is a likely predictor of advanced menopausal age when seen in young women and may thus serve as an early marker of accelerated general ageing. Oocyte harvest in ART as a measure of ovarian ageing and thus as a risk predictor of age-related morbidity and mortality has not been investigated previously.</w:t>
      </w:r>
    </w:p>
    <w:p w:rsidR="0056780E" w:rsidRPr="0056780E" w:rsidRDefault="0056780E" w:rsidP="0056780E">
      <w:pPr>
        <w:spacing w:after="0" w:line="240" w:lineRule="auto"/>
        <w:rPr>
          <w:rFonts w:ascii="Times New Roman" w:eastAsia="Times New Roman" w:hAnsi="Times New Roman" w:cs="Times New Roman"/>
          <w:sz w:val="24"/>
          <w:szCs w:val="24"/>
          <w:lang w:val="en-US"/>
        </w:rPr>
      </w:pPr>
      <w:r w:rsidRPr="0056780E">
        <w:rPr>
          <w:rFonts w:ascii="Arial" w:eastAsia="Times New Roman" w:hAnsi="Arial" w:cs="Arial"/>
          <w:b/>
          <w:bCs/>
          <w:color w:val="333333"/>
          <w:sz w:val="18"/>
          <w:szCs w:val="18"/>
          <w:lang w:val="en-US"/>
        </w:rPr>
        <w:t>Study design, size, duration:</w:t>
      </w:r>
    </w:p>
    <w:p w:rsidR="0056780E" w:rsidRPr="0056780E" w:rsidRDefault="0056780E" w:rsidP="0056780E">
      <w:pPr>
        <w:spacing w:after="225" w:line="240" w:lineRule="auto"/>
        <w:rPr>
          <w:rFonts w:ascii="Arial" w:eastAsia="Times New Roman" w:hAnsi="Arial" w:cs="Arial"/>
          <w:color w:val="333333"/>
          <w:sz w:val="18"/>
          <w:szCs w:val="18"/>
          <w:lang w:val="en-US"/>
        </w:rPr>
      </w:pPr>
      <w:r w:rsidRPr="0056780E">
        <w:rPr>
          <w:rFonts w:ascii="Arial" w:eastAsia="Times New Roman" w:hAnsi="Arial" w:cs="Arial"/>
          <w:color w:val="333333"/>
          <w:sz w:val="18"/>
          <w:szCs w:val="18"/>
          <w:lang w:val="en-US"/>
        </w:rPr>
        <w:t xml:space="preserve">A register-based national historical cohort study. Young women (≤ 37 years) having their first ART-treatment in </w:t>
      </w:r>
      <w:proofErr w:type="gramStart"/>
      <w:r w:rsidRPr="0056780E">
        <w:rPr>
          <w:rFonts w:ascii="Arial" w:eastAsia="Times New Roman" w:hAnsi="Arial" w:cs="Arial"/>
          <w:color w:val="333333"/>
          <w:sz w:val="18"/>
          <w:szCs w:val="18"/>
          <w:lang w:val="en-US"/>
        </w:rPr>
        <w:t>a  Danish</w:t>
      </w:r>
      <w:proofErr w:type="gramEnd"/>
      <w:r w:rsidRPr="0056780E">
        <w:rPr>
          <w:rFonts w:ascii="Arial" w:eastAsia="Times New Roman" w:hAnsi="Arial" w:cs="Arial"/>
          <w:color w:val="333333"/>
          <w:sz w:val="18"/>
          <w:szCs w:val="18"/>
          <w:lang w:val="en-US"/>
        </w:rPr>
        <w:t xml:space="preserve"> fertility clinic (public or private) during the period 1995-2014 was divided into two groups dependent on ovarian reserve status: early ovarian ageing(EOA) (n=1,234) and normal ovarian ageing(NOA) (n=18,614). Number of oocytes harvested in first and subsequent cycles was used as a marker of ovarian reserve. Several national registers were applied to assess morbidity and mortality.</w:t>
      </w:r>
    </w:p>
    <w:p w:rsidR="0056780E" w:rsidRPr="0056780E" w:rsidRDefault="0056780E" w:rsidP="0056780E">
      <w:pPr>
        <w:spacing w:after="0" w:line="240" w:lineRule="auto"/>
        <w:rPr>
          <w:rFonts w:ascii="Times New Roman" w:eastAsia="Times New Roman" w:hAnsi="Times New Roman" w:cs="Times New Roman"/>
          <w:sz w:val="24"/>
          <w:szCs w:val="24"/>
          <w:lang w:val="en-US"/>
        </w:rPr>
      </w:pPr>
      <w:r w:rsidRPr="0056780E">
        <w:rPr>
          <w:rFonts w:ascii="Arial" w:eastAsia="Times New Roman" w:hAnsi="Arial" w:cs="Arial"/>
          <w:b/>
          <w:bCs/>
          <w:color w:val="333333"/>
          <w:sz w:val="18"/>
          <w:szCs w:val="18"/>
          <w:lang w:val="en-US"/>
        </w:rPr>
        <w:t>Participants/materials, setting, methods:</w:t>
      </w:r>
    </w:p>
    <w:p w:rsidR="0056780E" w:rsidRPr="0056780E" w:rsidRDefault="0056780E" w:rsidP="0056780E">
      <w:pPr>
        <w:spacing w:after="225" w:line="240" w:lineRule="auto"/>
        <w:rPr>
          <w:rFonts w:ascii="Arial" w:eastAsia="Times New Roman" w:hAnsi="Arial" w:cs="Arial"/>
          <w:color w:val="333333"/>
          <w:sz w:val="18"/>
          <w:szCs w:val="18"/>
          <w:lang w:val="en-US"/>
        </w:rPr>
      </w:pPr>
      <w:r w:rsidRPr="0056780E">
        <w:rPr>
          <w:rFonts w:ascii="Arial" w:eastAsia="Times New Roman" w:hAnsi="Arial" w:cs="Arial"/>
          <w:color w:val="333333"/>
          <w:sz w:val="18"/>
          <w:szCs w:val="18"/>
          <w:lang w:val="en-US"/>
        </w:rPr>
        <w:t xml:space="preserve">EOA was defined as ≤ 5 oocytes in minimum two well-stimulated cycles and NOA as ≥8 oocytes in minimum 1 cycle. Known causes influencing the ovarian reserve (endometriosis, surgery, chemotherapy etc.) was reason for exclusion.  Primary outcome was overall-disease risk defined as either: CVD, osteoporosis, type-2 diabetes, cancer, all-cause death, </w:t>
      </w:r>
      <w:proofErr w:type="spellStart"/>
      <w:r w:rsidRPr="0056780E">
        <w:rPr>
          <w:rFonts w:ascii="Arial" w:eastAsia="Times New Roman" w:hAnsi="Arial" w:cs="Arial"/>
          <w:color w:val="333333"/>
          <w:sz w:val="18"/>
          <w:szCs w:val="18"/>
          <w:lang w:val="en-US"/>
        </w:rPr>
        <w:t>Charlson</w:t>
      </w:r>
      <w:proofErr w:type="spellEnd"/>
      <w:r w:rsidRPr="0056780E">
        <w:rPr>
          <w:rFonts w:ascii="Arial" w:eastAsia="Times New Roman" w:hAnsi="Arial" w:cs="Arial"/>
          <w:color w:val="333333"/>
          <w:sz w:val="18"/>
          <w:szCs w:val="18"/>
          <w:lang w:val="en-US"/>
        </w:rPr>
        <w:t xml:space="preserve"> Comorbidity index, cataract, Alzheimer’s or Parkinson’s disease or early retirement benefit. Cox regression models were used to assess the disease risk after first ART-cycle.</w:t>
      </w:r>
    </w:p>
    <w:p w:rsidR="0056780E" w:rsidRPr="0056780E" w:rsidRDefault="0056780E" w:rsidP="0056780E">
      <w:pPr>
        <w:spacing w:after="0" w:line="240" w:lineRule="auto"/>
        <w:rPr>
          <w:rFonts w:ascii="Times New Roman" w:eastAsia="Times New Roman" w:hAnsi="Times New Roman" w:cs="Times New Roman"/>
          <w:sz w:val="24"/>
          <w:szCs w:val="24"/>
          <w:lang w:val="en-US"/>
        </w:rPr>
      </w:pPr>
      <w:r w:rsidRPr="0056780E">
        <w:rPr>
          <w:rFonts w:ascii="Arial" w:eastAsia="Times New Roman" w:hAnsi="Arial" w:cs="Arial"/>
          <w:b/>
          <w:bCs/>
          <w:color w:val="333333"/>
          <w:sz w:val="18"/>
          <w:szCs w:val="18"/>
          <w:lang w:val="en-US"/>
        </w:rPr>
        <w:t>Main results and the role of chance:</w:t>
      </w:r>
    </w:p>
    <w:p w:rsidR="0056780E" w:rsidRPr="0056780E" w:rsidRDefault="0056780E" w:rsidP="0056780E">
      <w:pPr>
        <w:spacing w:after="225" w:line="240" w:lineRule="auto"/>
        <w:rPr>
          <w:rFonts w:ascii="Arial" w:eastAsia="Times New Roman" w:hAnsi="Arial" w:cs="Arial"/>
          <w:color w:val="333333"/>
          <w:sz w:val="18"/>
          <w:szCs w:val="18"/>
          <w:lang w:val="en-US"/>
        </w:rPr>
      </w:pPr>
      <w:r w:rsidRPr="0056780E">
        <w:rPr>
          <w:rFonts w:ascii="Arial" w:eastAsia="Times New Roman" w:hAnsi="Arial" w:cs="Arial"/>
          <w:color w:val="333333"/>
          <w:sz w:val="18"/>
          <w:szCs w:val="18"/>
          <w:lang w:val="en-US"/>
        </w:rPr>
        <w:t xml:space="preserve">Median follow-up time from first ART-cycle to first disease event was 6.1 years (10/90 percentile 1.0/12.9) and 6.7 </w:t>
      </w:r>
      <w:proofErr w:type="gramStart"/>
      <w:r w:rsidRPr="0056780E">
        <w:rPr>
          <w:rFonts w:ascii="Arial" w:eastAsia="Times New Roman" w:hAnsi="Arial" w:cs="Arial"/>
          <w:color w:val="333333"/>
          <w:sz w:val="18"/>
          <w:szCs w:val="18"/>
          <w:lang w:val="en-US"/>
        </w:rPr>
        <w:t>years( 10</w:t>
      </w:r>
      <w:proofErr w:type="gramEnd"/>
      <w:r w:rsidRPr="0056780E">
        <w:rPr>
          <w:rFonts w:ascii="Arial" w:eastAsia="Times New Roman" w:hAnsi="Arial" w:cs="Arial"/>
          <w:color w:val="333333"/>
          <w:sz w:val="18"/>
          <w:szCs w:val="18"/>
          <w:lang w:val="en-US"/>
        </w:rPr>
        <w:t xml:space="preserve">/90 percentile 1.0/14.1) in the EOA -and NOA group respectively.  Women with EOA had an increased risk of overall- disease when compared to women with a normal oocyte yield (Adjusted HR 1.26, 95 % CI 1.10;1.43). Stratifying on diseases categories, the EOA group had a significantly increased risk for cardiovascular diseases (adjusted HR 1.39, 95 % CI 1.15; 1.67), osteoporosis (adjusted HR 2.36, 95 % CI 1.48;3.74), </w:t>
      </w:r>
      <w:proofErr w:type="spellStart"/>
      <w:r w:rsidRPr="0056780E">
        <w:rPr>
          <w:rFonts w:ascii="Arial" w:eastAsia="Times New Roman" w:hAnsi="Arial" w:cs="Arial"/>
          <w:color w:val="333333"/>
          <w:sz w:val="18"/>
          <w:szCs w:val="18"/>
          <w:lang w:val="en-US"/>
        </w:rPr>
        <w:t>Charlson</w:t>
      </w:r>
      <w:proofErr w:type="spellEnd"/>
      <w:r w:rsidRPr="0056780E">
        <w:rPr>
          <w:rFonts w:ascii="Arial" w:eastAsia="Times New Roman" w:hAnsi="Arial" w:cs="Arial"/>
          <w:color w:val="333333"/>
          <w:sz w:val="18"/>
          <w:szCs w:val="18"/>
          <w:lang w:val="en-US"/>
        </w:rPr>
        <w:t xml:space="preserve"> comorbidity index (Adjusted HR 1.28, 95 % CI 1.06;1.54) and early retirement benefit ( adjusted HR 1.52, 95 % CI 1.06;2.19).</w:t>
      </w:r>
    </w:p>
    <w:p w:rsidR="0056780E" w:rsidRPr="0056780E" w:rsidRDefault="0056780E" w:rsidP="0056780E">
      <w:pPr>
        <w:spacing w:after="0" w:line="240" w:lineRule="auto"/>
        <w:rPr>
          <w:rFonts w:ascii="Times New Roman" w:eastAsia="Times New Roman" w:hAnsi="Times New Roman" w:cs="Times New Roman"/>
          <w:sz w:val="24"/>
          <w:szCs w:val="24"/>
          <w:lang w:val="en-US"/>
        </w:rPr>
      </w:pPr>
      <w:r w:rsidRPr="0056780E">
        <w:rPr>
          <w:rFonts w:ascii="Arial" w:eastAsia="Times New Roman" w:hAnsi="Arial" w:cs="Arial"/>
          <w:b/>
          <w:bCs/>
          <w:color w:val="333333"/>
          <w:sz w:val="18"/>
          <w:szCs w:val="18"/>
          <w:lang w:val="en-US"/>
        </w:rPr>
        <w:t>Limitations, reasons for caution:</w:t>
      </w:r>
    </w:p>
    <w:p w:rsidR="0056780E" w:rsidRPr="0056780E" w:rsidRDefault="0056780E" w:rsidP="0056780E">
      <w:pPr>
        <w:spacing w:after="225" w:line="240" w:lineRule="auto"/>
        <w:rPr>
          <w:rFonts w:ascii="Arial" w:eastAsia="Times New Roman" w:hAnsi="Arial" w:cs="Arial"/>
          <w:color w:val="333333"/>
          <w:sz w:val="18"/>
          <w:szCs w:val="18"/>
          <w:lang w:val="en-US"/>
        </w:rPr>
      </w:pPr>
      <w:r w:rsidRPr="0056780E">
        <w:rPr>
          <w:rFonts w:ascii="Arial" w:eastAsia="Times New Roman" w:hAnsi="Arial" w:cs="Arial"/>
          <w:color w:val="333333"/>
          <w:sz w:val="18"/>
          <w:szCs w:val="18"/>
          <w:lang w:val="en-US"/>
        </w:rPr>
        <w:t>Due to register limitations we were unable to identify the reason why no oocytes had been collected in case of cancelled cycles and we may have missed women with the most severe forms of EOA. Neither did we have information on the total doses of gonadotropin given in each cycle.</w:t>
      </w:r>
    </w:p>
    <w:p w:rsidR="0056780E" w:rsidRPr="0056780E" w:rsidRDefault="0056780E" w:rsidP="0056780E">
      <w:pPr>
        <w:spacing w:after="0" w:line="240" w:lineRule="auto"/>
        <w:rPr>
          <w:rFonts w:ascii="Times New Roman" w:eastAsia="Times New Roman" w:hAnsi="Times New Roman" w:cs="Times New Roman"/>
          <w:sz w:val="24"/>
          <w:szCs w:val="24"/>
          <w:lang w:val="en-US"/>
        </w:rPr>
      </w:pPr>
      <w:r w:rsidRPr="0056780E">
        <w:rPr>
          <w:rFonts w:ascii="Arial" w:eastAsia="Times New Roman" w:hAnsi="Arial" w:cs="Arial"/>
          <w:b/>
          <w:bCs/>
          <w:color w:val="333333"/>
          <w:sz w:val="18"/>
          <w:szCs w:val="18"/>
          <w:lang w:val="en-US"/>
        </w:rPr>
        <w:t>Wider implications of the findings:</w:t>
      </w:r>
    </w:p>
    <w:p w:rsidR="0056780E" w:rsidRPr="0056780E" w:rsidRDefault="0056780E" w:rsidP="0056780E">
      <w:pPr>
        <w:spacing w:after="225" w:line="240" w:lineRule="auto"/>
        <w:rPr>
          <w:rFonts w:ascii="Arial" w:eastAsia="Times New Roman" w:hAnsi="Arial" w:cs="Arial"/>
          <w:color w:val="333333"/>
          <w:sz w:val="18"/>
          <w:szCs w:val="18"/>
          <w:lang w:val="en-US"/>
        </w:rPr>
      </w:pPr>
      <w:r w:rsidRPr="0056780E">
        <w:rPr>
          <w:rFonts w:ascii="Arial" w:eastAsia="Times New Roman" w:hAnsi="Arial" w:cs="Arial"/>
          <w:color w:val="333333"/>
          <w:sz w:val="18"/>
          <w:szCs w:val="18"/>
          <w:lang w:val="en-US"/>
        </w:rPr>
        <w:t xml:space="preserve">These findings indicate that oocyte yield may serve as marker of later accelerated ageing when unexpected, repeatedly few oocytes are harvested in young women. Counselling on life-style factors as a </w:t>
      </w:r>
      <w:proofErr w:type="spellStart"/>
      <w:r w:rsidRPr="0056780E">
        <w:rPr>
          <w:rFonts w:ascii="Arial" w:eastAsia="Times New Roman" w:hAnsi="Arial" w:cs="Arial"/>
          <w:color w:val="333333"/>
          <w:sz w:val="18"/>
          <w:szCs w:val="18"/>
          <w:lang w:val="en-US"/>
        </w:rPr>
        <w:t>phrophylactic</w:t>
      </w:r>
      <w:proofErr w:type="spellEnd"/>
      <w:r w:rsidRPr="0056780E">
        <w:rPr>
          <w:rFonts w:ascii="Arial" w:eastAsia="Times New Roman" w:hAnsi="Arial" w:cs="Arial"/>
          <w:color w:val="333333"/>
          <w:sz w:val="18"/>
          <w:szCs w:val="18"/>
          <w:lang w:val="en-US"/>
        </w:rPr>
        <w:t xml:space="preserve"> effort against cardiovascular and other </w:t>
      </w:r>
      <w:proofErr w:type="gramStart"/>
      <w:r w:rsidRPr="0056780E">
        <w:rPr>
          <w:rFonts w:ascii="Arial" w:eastAsia="Times New Roman" w:hAnsi="Arial" w:cs="Arial"/>
          <w:color w:val="333333"/>
          <w:sz w:val="18"/>
          <w:szCs w:val="18"/>
          <w:lang w:val="en-US"/>
        </w:rPr>
        <w:t>age related</w:t>
      </w:r>
      <w:proofErr w:type="gramEnd"/>
      <w:r w:rsidRPr="0056780E">
        <w:rPr>
          <w:rFonts w:ascii="Arial" w:eastAsia="Times New Roman" w:hAnsi="Arial" w:cs="Arial"/>
          <w:color w:val="333333"/>
          <w:sz w:val="18"/>
          <w:szCs w:val="18"/>
          <w:lang w:val="en-US"/>
        </w:rPr>
        <w:t xml:space="preserve"> diseases may be essential for this group of women.</w:t>
      </w:r>
    </w:p>
    <w:p w:rsidR="00197065" w:rsidRPr="0056780E" w:rsidRDefault="00197065">
      <w:pPr>
        <w:rPr>
          <w:lang w:val="en-US"/>
        </w:rPr>
      </w:pPr>
      <w:bookmarkStart w:id="0" w:name="_GoBack"/>
      <w:bookmarkEnd w:id="0"/>
    </w:p>
    <w:sectPr w:rsidR="00197065" w:rsidRPr="0056780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0E"/>
    <w:rsid w:val="00197065"/>
    <w:rsid w:val="005678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EC7B4-5789-483D-BF9C-12573E72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780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00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Bauquis</dc:creator>
  <cp:keywords/>
  <dc:description/>
  <cp:lastModifiedBy>Christine Bauquis</cp:lastModifiedBy>
  <cp:revision>1</cp:revision>
  <dcterms:created xsi:type="dcterms:W3CDTF">2020-06-29T16:28:00Z</dcterms:created>
  <dcterms:modified xsi:type="dcterms:W3CDTF">2020-06-29T16:29:00Z</dcterms:modified>
</cp:coreProperties>
</file>