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33" w:rsidRPr="00F16B33" w:rsidRDefault="00F16B33" w:rsidP="00F16B33">
      <w:pPr>
        <w:spacing w:after="3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C20-0881      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Endometrial scratching in women undergoing their first In Vitro </w:t>
      </w:r>
      <w:proofErr w:type="spellStart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Fertilisation</w:t>
      </w:r>
      <w:proofErr w:type="spellEnd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 (IVF) cycle: results from the UK </w:t>
      </w:r>
      <w:proofErr w:type="spellStart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Multicentre</w:t>
      </w:r>
      <w:proofErr w:type="spellEnd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 Endometrial Scratch </w:t>
      </w:r>
      <w:proofErr w:type="spellStart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Randomised</w:t>
      </w:r>
      <w:proofErr w:type="spellEnd"/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 xml:space="preserve"> Controlled Trial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u w:val="single"/>
          <w:lang w:val="en-US"/>
        </w:rPr>
        <w:t>M. Metwally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1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R. Chatters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C. Pye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1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M. Dimairo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D. White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S. Walters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J. Cohen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3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T. Chater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K. Pemberton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T. Young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R. Lomas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1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E. Taylor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1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S. Laird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4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L. Mohiyiddeen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5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, Y. Cheong</w:t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6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1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Sheffield teaching hospitals, Reproductive medicine, Sheffield,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The University of Sheffield, Clinical Trials Unit, Sheffield,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3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Hull York Medical School, Hull Health Trials Unit, Hull,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4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Sheffield Hallam University, Biosciences and Chemistry, Sheffield,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5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Manchester University Hospitals, Reproductive Medicine, Manchester,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i/>
          <w:iCs/>
          <w:sz w:val="18"/>
          <w:szCs w:val="18"/>
          <w:vertAlign w:val="superscript"/>
          <w:lang w:val="en-US"/>
        </w:rPr>
        <w:t>6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The University of Southampton, Reproductive Medicine, Southampton, United Kingdom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Study question: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Does endometrial scratching (ES) in the mid-luteal phase prior to first time IVF/ICSI increase the chances of achieving a clinical pregnancy and live birth?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Summary answer: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Endometrial Scratch performed prior to the first cycle of IVF/ICSI does not increase the chances of achieving a pregnancy and live birth. 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What is known already: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Endometrial Scratch is currently being provided in some fertility units where women are having IVF/ICSI for the first time. The most recent 2019 systematic review shows poor evidence to support this practice. Current studies are single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centre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>, of relatively small size and/or involve heterogeneous or unselected populations. Further evidence is therefore required from a large multi-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centre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randomised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controlled trial looking at a homogenous population of only women undergoing first time treatment and expected to be good responders in order to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minimise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heterogeneity. 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Study design, size, duration: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A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multicentre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, pragmatic, open-label, individually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randomised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parallel-group trial recruited women at 16 fertility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centres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across the UK from July 2016 to Oct 2019. We planned to recruit 1044 women (522 per arm) to preserve a power of 90% and 5% two-sided type I error assuming a 30% live birth rate in treatment as usual (TAU), a 10% absolute difference between TAU and Endometrial Scratch (ES) arms (more likely to change practice), and 5% dropout rate. 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Participants/materials, setting, methods: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Women aged ≥18 and ≤37 undergoing their first IVF cycle, BMI &lt;35 kg/m</w:t>
      </w:r>
      <w:r w:rsidRPr="00F16B33">
        <w:rPr>
          <w:rFonts w:ascii="Arial" w:eastAsia="Times New Roman" w:hAnsi="Arial" w:cs="Arial"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 and expected to be good responders were eligible. ES was undertaken in the mid-luteal phase prior to IVF/ICSI. Women were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randomised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1:1 to either ES or IVF/ICSI (TAU), using a web-based stratified block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randomisation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>. The primary outcome was live birth (LBR); secondary outcomes included clinical pregnancy (CPR), implantation (IR), ectopic pregnancy (ER), miscarriage (MR), preterm delivery (PDR), stillbirth (SBR) rates and safety.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Main results and the role of chance: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1048 women were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randomised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TAU (n=525) and ES (n=523). Mean age and BMI (standard deviation) was 32.5(3.4) years and 24.5 (3.3) kg/m</w:t>
      </w:r>
      <w:r w:rsidRPr="00F16B33">
        <w:rPr>
          <w:rFonts w:ascii="Arial" w:eastAsia="Times New Roman" w:hAnsi="Arial" w:cs="Arial"/>
          <w:sz w:val="18"/>
          <w:szCs w:val="18"/>
          <w:vertAlign w:val="superscript"/>
          <w:lang w:val="en-US"/>
        </w:rPr>
        <w:t>2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. Baseline characteristics were similar between arms.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In the ES arm, 86.6% (453/523) received the ES procedure. IVF/ICSI was received by 94.1% (494/525) in the TAU and 95.0% (497/523) in the ES arm. For the primary outcome, LBR was 37.1% (195/525) in the TAU and 38.4% (201/523) in the ES (Unadjusted: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difference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 1.3% [95%CI, -4.6% to 7.2%];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relative risk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 1.03 [95%CI, 0.89 to 1.21];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odds ratio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 1.06 [95%CI, 0.82 to 1.36]; P-value = 0.667).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For the secondary outcomes, CPR was 40.6% (213/525) in TAU and 42.4% (222/523) in ES arm (Unadjusted: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difference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 1.9% [95%CI, -4.1% to 7.8%];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relative risk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 1.05 [95%CI, 0.91 to 1.21]; </w:t>
      </w:r>
      <w:r w:rsidRPr="00F16B33">
        <w:rPr>
          <w:rFonts w:ascii="Arial" w:eastAsia="Times New Roman" w:hAnsi="Arial" w:cs="Arial"/>
          <w:i/>
          <w:iCs/>
          <w:sz w:val="18"/>
          <w:szCs w:val="18"/>
          <w:lang w:val="en-US"/>
        </w:rPr>
        <w:t>odds ratio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, 1.08 [95%CI, 0.84 to 1.38]; P-value = 0.538). All the other secondary outcomes (IR, EPR, MR, MBR, PDR, and SBR) were all similar between arms. 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> Adverse events and serious adverse events in women were similar between arms. No deaths or neonatal deaths were reported. Only 1.2% (3/258) of born babies had severe congenital abnormalities reported in the TAU arm only.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Limitations, reasons for caution: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The study did not include a sham procedure in the Treatment </w:t>
      </w:r>
      <w:proofErr w:type="gramStart"/>
      <w:r w:rsidRPr="00F16B33">
        <w:rPr>
          <w:rFonts w:ascii="Arial" w:eastAsia="Times New Roman" w:hAnsi="Arial" w:cs="Arial"/>
          <w:sz w:val="18"/>
          <w:szCs w:val="18"/>
          <w:lang w:val="en-US"/>
        </w:rPr>
        <w:t>As</w:t>
      </w:r>
      <w:proofErr w:type="gram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Usual arm but this is unlikely to have influenced the study outcomes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lastRenderedPageBreak/>
        <w:t xml:space="preserve">Furthermore, the study is applicable to the demographic and ethnic distribution of the population in the UK as no overseas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centres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were included.  </w:t>
      </w:r>
    </w:p>
    <w:p w:rsidR="00F16B33" w:rsidRPr="00F16B33" w:rsidRDefault="00F16B33" w:rsidP="00F16B3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Wider implications of the findings:</w:t>
      </w:r>
    </w:p>
    <w:p w:rsidR="00F16B33" w:rsidRPr="00F16B33" w:rsidRDefault="00F16B33" w:rsidP="00F16B33">
      <w:pPr>
        <w:spacing w:after="225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Endometrial scratch is currently performed for women undergoing first time IVF/ICSI in some </w:t>
      </w:r>
      <w:proofErr w:type="spellStart"/>
      <w:r w:rsidRPr="00F16B33">
        <w:rPr>
          <w:rFonts w:ascii="Arial" w:eastAsia="Times New Roman" w:hAnsi="Arial" w:cs="Arial"/>
          <w:sz w:val="18"/>
          <w:szCs w:val="18"/>
          <w:lang w:val="en-US"/>
        </w:rPr>
        <w:t>centres</w:t>
      </w:r>
      <w:proofErr w:type="spell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. This study provides conclusive evidence </w:t>
      </w:r>
      <w:proofErr w:type="gramStart"/>
      <w:r w:rsidRPr="00F16B33">
        <w:rPr>
          <w:rFonts w:ascii="Arial" w:eastAsia="Times New Roman" w:hAnsi="Arial" w:cs="Arial"/>
          <w:sz w:val="18"/>
          <w:szCs w:val="18"/>
          <w:lang w:val="en-US"/>
        </w:rPr>
        <w:t>that  Endometrial</w:t>
      </w:r>
      <w:proofErr w:type="gramEnd"/>
      <w:r w:rsidRPr="00F16B33">
        <w:rPr>
          <w:rFonts w:ascii="Arial" w:eastAsia="Times New Roman" w:hAnsi="Arial" w:cs="Arial"/>
          <w:sz w:val="18"/>
          <w:szCs w:val="18"/>
          <w:lang w:val="en-US"/>
        </w:rPr>
        <w:t xml:space="preserve"> Scratch is not beneficial in this population and suggests that it is time to stop this practice.  </w:t>
      </w:r>
    </w:p>
    <w:p w:rsidR="00197065" w:rsidRPr="00F16B33" w:rsidRDefault="00F16B33" w:rsidP="00F16B33">
      <w:pPr>
        <w:rPr>
          <w:lang w:val="en-US"/>
        </w:rPr>
      </w:pP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Trial registration number: 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Study funding: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 -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br/>
      </w:r>
      <w:r w:rsidRPr="00F16B33">
        <w:rPr>
          <w:rFonts w:ascii="Arial" w:eastAsia="Times New Roman" w:hAnsi="Arial" w:cs="Arial"/>
          <w:b/>
          <w:bCs/>
          <w:sz w:val="18"/>
          <w:szCs w:val="18"/>
          <w:lang w:val="en-US"/>
        </w:rPr>
        <w:t>Funding source:</w:t>
      </w:r>
      <w:r w:rsidRPr="00F16B33">
        <w:rPr>
          <w:rFonts w:ascii="Arial" w:eastAsia="Times New Roman" w:hAnsi="Arial" w:cs="Arial"/>
          <w:sz w:val="18"/>
          <w:szCs w:val="18"/>
          <w:lang w:val="en-US"/>
        </w:rPr>
        <w:t> -</w:t>
      </w:r>
      <w:bookmarkStart w:id="0" w:name="_GoBack"/>
      <w:bookmarkEnd w:id="0"/>
    </w:p>
    <w:sectPr w:rsidR="00197065" w:rsidRPr="00F16B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33"/>
    <w:rsid w:val="00197065"/>
    <w:rsid w:val="00F1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01CFD-86B1-4ABA-BC7D-F03E942D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6B3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F1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16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Bauquis</dc:creator>
  <cp:keywords/>
  <dc:description/>
  <cp:lastModifiedBy>Christine Bauquis</cp:lastModifiedBy>
  <cp:revision>1</cp:revision>
  <dcterms:created xsi:type="dcterms:W3CDTF">2020-06-29T15:51:00Z</dcterms:created>
  <dcterms:modified xsi:type="dcterms:W3CDTF">2020-06-29T15:53:00Z</dcterms:modified>
</cp:coreProperties>
</file>