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33" w:rsidRPr="00F16B33" w:rsidRDefault="00F16B33" w:rsidP="00F16B33">
      <w:pPr>
        <w:spacing w:after="3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>C20-0881      </w:t>
      </w:r>
    </w:p>
    <w:p w:rsidR="00F16B33" w:rsidRPr="00F16B33" w:rsidRDefault="00F16B33" w:rsidP="00F16B3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sz w:val="18"/>
          <w:szCs w:val="18"/>
          <w:lang w:val="en-US"/>
        </w:rPr>
        <w:br/>
      </w:r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Endometrial scratching in women undergoing their first In Vitro </w:t>
      </w:r>
      <w:proofErr w:type="spellStart"/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>Fertilisation</w:t>
      </w:r>
      <w:proofErr w:type="spellEnd"/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 (IVF) cycle: results from the UK </w:t>
      </w:r>
      <w:proofErr w:type="spellStart"/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>Multicentre</w:t>
      </w:r>
      <w:proofErr w:type="spellEnd"/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 Endometrial Scratch </w:t>
      </w:r>
      <w:proofErr w:type="spellStart"/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>Randomised</w:t>
      </w:r>
      <w:proofErr w:type="spellEnd"/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 Controlled Trial</w:t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br/>
      </w:r>
      <w:r w:rsidRPr="00F16B33">
        <w:rPr>
          <w:rFonts w:ascii="Arial" w:eastAsia="Times New Roman" w:hAnsi="Arial" w:cs="Arial"/>
          <w:i/>
          <w:iCs/>
          <w:sz w:val="18"/>
          <w:szCs w:val="18"/>
          <w:u w:val="single"/>
          <w:lang w:val="en-US"/>
        </w:rPr>
        <w:t>M. Metwally</w:t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1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, R. Chatters</w:t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2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, C. Pye</w:t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1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, M. Dimairo</w:t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2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, D. White</w:t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2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, S. Walters</w:t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2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, J. Cohen</w:t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3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, T. Chater</w:t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2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, K. Pemberton</w:t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2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, T. Young</w:t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2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, R. Lomas</w:t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1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, E. Taylor</w:t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1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, S. Laird</w:t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4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, L. Mohiyiddeen</w:t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5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, Y. Cheong</w:t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6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br/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1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Sheffield teaching hospitals, Reproductive medicine, Sheffield, United Kingdom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br/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2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The University of Sheffield, Clinical Trials Unit, Sheffield, United Kingdom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br/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3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Hull York Medical School, Hull Health Trials Unit, Hull, United Kingdom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br/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4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Sheffield Hallam University, Biosciences and Chemistry, Sheffield, United Kingdom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br/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5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Manchester University Hospitals, Reproductive Medicine, Manchester, United Kingdom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br/>
      </w:r>
      <w:r w:rsidRPr="00F16B33">
        <w:rPr>
          <w:rFonts w:ascii="Arial" w:eastAsia="Times New Roman" w:hAnsi="Arial" w:cs="Arial"/>
          <w:i/>
          <w:iCs/>
          <w:sz w:val="18"/>
          <w:szCs w:val="18"/>
          <w:vertAlign w:val="superscript"/>
          <w:lang w:val="en-US"/>
        </w:rPr>
        <w:t>6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The University of Southampton, Reproductive Medicine, Southampton, United Kingdom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br/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br/>
      </w:r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>Study question:</w:t>
      </w:r>
    </w:p>
    <w:p w:rsidR="00F16B33" w:rsidRPr="00F16B33" w:rsidRDefault="00F16B33" w:rsidP="00F16B33">
      <w:pPr>
        <w:spacing w:after="225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sz w:val="18"/>
          <w:szCs w:val="18"/>
          <w:lang w:val="en-US"/>
        </w:rPr>
        <w:t>Does endometrial scratching (ES) in the mid-luteal phase prior to first time IVF/ICSI increase the chances of achieving a clinical pregnancy and live birth?</w:t>
      </w:r>
    </w:p>
    <w:p w:rsidR="00F16B33" w:rsidRPr="00F16B33" w:rsidRDefault="00F16B33" w:rsidP="00F16B3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>Summary answer:</w:t>
      </w:r>
    </w:p>
    <w:p w:rsidR="00F16B33" w:rsidRPr="00F16B33" w:rsidRDefault="00F16B33" w:rsidP="00F16B33">
      <w:pPr>
        <w:spacing w:after="225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sz w:val="18"/>
          <w:szCs w:val="18"/>
          <w:lang w:val="en-US"/>
        </w:rPr>
        <w:t>Endometrial Scratch performed prior to the first cycle of IVF/ICSI does not increase the chances of achieving a pregnancy and live birth. </w:t>
      </w:r>
    </w:p>
    <w:p w:rsidR="00F16B33" w:rsidRPr="00F16B33" w:rsidRDefault="00F16B33" w:rsidP="00F16B3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>What is known already:</w:t>
      </w:r>
    </w:p>
    <w:p w:rsidR="00F16B33" w:rsidRPr="00F16B33" w:rsidRDefault="00F16B33" w:rsidP="00F16B33">
      <w:pPr>
        <w:spacing w:after="225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Endometrial Scratch is currently being provided in some fertility units where women are having IVF/ICSI for the first time. The most recent 2019 systematic review shows poor evidence to support this practice. Current studies are single </w:t>
      </w:r>
      <w:proofErr w:type="spellStart"/>
      <w:r w:rsidRPr="00F16B33">
        <w:rPr>
          <w:rFonts w:ascii="Arial" w:eastAsia="Times New Roman" w:hAnsi="Arial" w:cs="Arial"/>
          <w:sz w:val="18"/>
          <w:szCs w:val="18"/>
          <w:lang w:val="en-US"/>
        </w:rPr>
        <w:t>centre</w:t>
      </w:r>
      <w:proofErr w:type="spellEnd"/>
      <w:r w:rsidRPr="00F16B33">
        <w:rPr>
          <w:rFonts w:ascii="Arial" w:eastAsia="Times New Roman" w:hAnsi="Arial" w:cs="Arial"/>
          <w:sz w:val="18"/>
          <w:szCs w:val="18"/>
          <w:lang w:val="en-US"/>
        </w:rPr>
        <w:t>, of relatively small size and/or involve heterogeneous or unselected populations. Further evidence is therefore required from a large multi-</w:t>
      </w:r>
      <w:proofErr w:type="spellStart"/>
      <w:r w:rsidRPr="00F16B33">
        <w:rPr>
          <w:rFonts w:ascii="Arial" w:eastAsia="Times New Roman" w:hAnsi="Arial" w:cs="Arial"/>
          <w:sz w:val="18"/>
          <w:szCs w:val="18"/>
          <w:lang w:val="en-US"/>
        </w:rPr>
        <w:t>centre</w:t>
      </w:r>
      <w:proofErr w:type="spellEnd"/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Pr="00F16B33">
        <w:rPr>
          <w:rFonts w:ascii="Arial" w:eastAsia="Times New Roman" w:hAnsi="Arial" w:cs="Arial"/>
          <w:sz w:val="18"/>
          <w:szCs w:val="18"/>
          <w:lang w:val="en-US"/>
        </w:rPr>
        <w:t>randomised</w:t>
      </w:r>
      <w:proofErr w:type="spellEnd"/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 controlled trial looking at a homogenous population of only women undergoing first time treatment and expected to be good responders in order to </w:t>
      </w:r>
      <w:proofErr w:type="spellStart"/>
      <w:r w:rsidRPr="00F16B33">
        <w:rPr>
          <w:rFonts w:ascii="Arial" w:eastAsia="Times New Roman" w:hAnsi="Arial" w:cs="Arial"/>
          <w:sz w:val="18"/>
          <w:szCs w:val="18"/>
          <w:lang w:val="en-US"/>
        </w:rPr>
        <w:t>minimise</w:t>
      </w:r>
      <w:proofErr w:type="spellEnd"/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 heterogeneity. </w:t>
      </w:r>
    </w:p>
    <w:p w:rsidR="00F16B33" w:rsidRPr="00F16B33" w:rsidRDefault="00F16B33" w:rsidP="00F16B3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>Study design, size, duration:</w:t>
      </w:r>
    </w:p>
    <w:p w:rsidR="00F16B33" w:rsidRPr="00F16B33" w:rsidRDefault="00F16B33" w:rsidP="00F16B33">
      <w:pPr>
        <w:spacing w:after="225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A </w:t>
      </w:r>
      <w:proofErr w:type="spellStart"/>
      <w:r w:rsidRPr="00F16B33">
        <w:rPr>
          <w:rFonts w:ascii="Arial" w:eastAsia="Times New Roman" w:hAnsi="Arial" w:cs="Arial"/>
          <w:sz w:val="18"/>
          <w:szCs w:val="18"/>
          <w:lang w:val="en-US"/>
        </w:rPr>
        <w:t>multicentre</w:t>
      </w:r>
      <w:proofErr w:type="spellEnd"/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, pragmatic, open-label, individually </w:t>
      </w:r>
      <w:proofErr w:type="spellStart"/>
      <w:r w:rsidRPr="00F16B33">
        <w:rPr>
          <w:rFonts w:ascii="Arial" w:eastAsia="Times New Roman" w:hAnsi="Arial" w:cs="Arial"/>
          <w:sz w:val="18"/>
          <w:szCs w:val="18"/>
          <w:lang w:val="en-US"/>
        </w:rPr>
        <w:t>randomised</w:t>
      </w:r>
      <w:proofErr w:type="spellEnd"/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 parallel-group trial recruited women at 16 fertility </w:t>
      </w:r>
      <w:proofErr w:type="spellStart"/>
      <w:r w:rsidRPr="00F16B33">
        <w:rPr>
          <w:rFonts w:ascii="Arial" w:eastAsia="Times New Roman" w:hAnsi="Arial" w:cs="Arial"/>
          <w:sz w:val="18"/>
          <w:szCs w:val="18"/>
          <w:lang w:val="en-US"/>
        </w:rPr>
        <w:t>centres</w:t>
      </w:r>
      <w:proofErr w:type="spellEnd"/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 across the UK from July 2016 to Oct 2019. We planned to recruit 1044 women (522 per arm) to preserve a power of 90% and 5% two-sided type I error assuming a 30% live birth rate in treatment as usual (TAU), a 10% absolute difference between TAU and Endometrial Scratch (ES) arms (more likely to change practice), and 5% dropout rate. </w:t>
      </w:r>
    </w:p>
    <w:p w:rsidR="00F16B33" w:rsidRPr="00F16B33" w:rsidRDefault="00F16B33" w:rsidP="00F16B3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>Participants/materials, setting, methods:</w:t>
      </w:r>
    </w:p>
    <w:p w:rsidR="00F16B33" w:rsidRPr="00F16B33" w:rsidRDefault="00F16B33" w:rsidP="00F16B33">
      <w:pPr>
        <w:spacing w:after="225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sz w:val="18"/>
          <w:szCs w:val="18"/>
          <w:lang w:val="en-US"/>
        </w:rPr>
        <w:t>Women aged ≥18 and ≤37 undergoing their first IVF cycle, BMI &lt;35 kg/m</w:t>
      </w:r>
      <w:r w:rsidRPr="00F16B33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2</w:t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 and expected to be good responders were eligible. ES was undertaken in the mid-luteal phase prior to IVF/ICSI. Women were </w:t>
      </w:r>
      <w:proofErr w:type="spellStart"/>
      <w:r w:rsidRPr="00F16B33">
        <w:rPr>
          <w:rFonts w:ascii="Arial" w:eastAsia="Times New Roman" w:hAnsi="Arial" w:cs="Arial"/>
          <w:sz w:val="18"/>
          <w:szCs w:val="18"/>
          <w:lang w:val="en-US"/>
        </w:rPr>
        <w:t>randomised</w:t>
      </w:r>
      <w:proofErr w:type="spellEnd"/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 1:1 to either ES or IVF/ICSI (TAU), using a web-based stratified block </w:t>
      </w:r>
      <w:proofErr w:type="spellStart"/>
      <w:r w:rsidRPr="00F16B33">
        <w:rPr>
          <w:rFonts w:ascii="Arial" w:eastAsia="Times New Roman" w:hAnsi="Arial" w:cs="Arial"/>
          <w:sz w:val="18"/>
          <w:szCs w:val="18"/>
          <w:lang w:val="en-US"/>
        </w:rPr>
        <w:t>randomisation</w:t>
      </w:r>
      <w:proofErr w:type="spellEnd"/>
      <w:r w:rsidRPr="00F16B33">
        <w:rPr>
          <w:rFonts w:ascii="Arial" w:eastAsia="Times New Roman" w:hAnsi="Arial" w:cs="Arial"/>
          <w:sz w:val="18"/>
          <w:szCs w:val="18"/>
          <w:lang w:val="en-US"/>
        </w:rPr>
        <w:t>. The primary outcome was live birth (LBR); secondary outcomes included clinical pregnancy (CPR), implantation (IR), ectopic pregnancy (ER), miscarriage (MR), preterm delivery (PDR), stillbirth (SBR) rates and safety.</w:t>
      </w:r>
    </w:p>
    <w:p w:rsidR="00F16B33" w:rsidRPr="00F16B33" w:rsidRDefault="00F16B33" w:rsidP="00F16B3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>Main results and the role of chance:</w:t>
      </w:r>
    </w:p>
    <w:p w:rsidR="00F16B33" w:rsidRPr="00F16B33" w:rsidRDefault="00F16B33" w:rsidP="00F16B33">
      <w:pPr>
        <w:spacing w:after="225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1048 women were </w:t>
      </w:r>
      <w:proofErr w:type="spellStart"/>
      <w:r w:rsidRPr="00F16B33">
        <w:rPr>
          <w:rFonts w:ascii="Arial" w:eastAsia="Times New Roman" w:hAnsi="Arial" w:cs="Arial"/>
          <w:sz w:val="18"/>
          <w:szCs w:val="18"/>
          <w:lang w:val="en-US"/>
        </w:rPr>
        <w:t>randomised</w:t>
      </w:r>
      <w:proofErr w:type="spellEnd"/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 TAU (n=525) and ES (n=523). Mean age and BMI (standard deviation) was 32.5(3.4) years and 24.5 (3.3) kg/m</w:t>
      </w:r>
      <w:r w:rsidRPr="00F16B33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2</w:t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t>. Baseline characteristics were similar between arms.</w:t>
      </w:r>
    </w:p>
    <w:p w:rsidR="00F16B33" w:rsidRPr="00F16B33" w:rsidRDefault="00F16B33" w:rsidP="00F16B33">
      <w:pPr>
        <w:spacing w:after="225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sz w:val="18"/>
          <w:szCs w:val="18"/>
          <w:lang w:val="en-US"/>
        </w:rPr>
        <w:t>In the ES arm, 86.6% (453/523) received the ES procedure. IVF/ICSI was received by 94.1% (494/525) in the TAU and 95.0% (497/523) in the ES arm. For the primary outcome, LBR was 37.1% (195/525) in the TAU and 38.4% (201/523) in the ES (Unadjusted: 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difference</w:t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t>, 1.3% [95%CI, -4.6% to 7.2%]; 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relative risk</w:t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t>, 1.03 [95%CI, 0.89 to 1.21]; 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odds ratio</w:t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t>, 1.06 [95%CI, 0.82 to 1.36]; P-value = 0.667).</w:t>
      </w:r>
    </w:p>
    <w:p w:rsidR="00F16B33" w:rsidRPr="00F16B33" w:rsidRDefault="00F16B33" w:rsidP="00F16B33">
      <w:pPr>
        <w:spacing w:after="225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sz w:val="18"/>
          <w:szCs w:val="18"/>
          <w:lang w:val="en-US"/>
        </w:rPr>
        <w:t>For the secondary outcomes, CPR was 40.6% (213/525) in TAU and 42.4% (222/523) in ES arm (Unadjusted: 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difference</w:t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t>, 1.9% [95%CI, -4.1% to 7.8%]; 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relative risk</w:t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t>, 1.05 [95%CI, 0.91 to 1.21]; </w:t>
      </w:r>
      <w:r w:rsidRPr="00F16B33">
        <w:rPr>
          <w:rFonts w:ascii="Arial" w:eastAsia="Times New Roman" w:hAnsi="Arial" w:cs="Arial"/>
          <w:i/>
          <w:iCs/>
          <w:sz w:val="18"/>
          <w:szCs w:val="18"/>
          <w:lang w:val="en-US"/>
        </w:rPr>
        <w:t>odds ratio</w:t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t>, 1.08 [95%CI, 0.84 to 1.38]; P-value = 0.538). All the other secondary outcomes (IR, EPR, MR, MBR, PDR, and SBR) were all similar between arms. </w:t>
      </w:r>
    </w:p>
    <w:p w:rsidR="00F16B33" w:rsidRPr="00F16B33" w:rsidRDefault="00F16B33" w:rsidP="00F16B33">
      <w:pPr>
        <w:spacing w:after="225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sz w:val="18"/>
          <w:szCs w:val="18"/>
          <w:lang w:val="en-US"/>
        </w:rPr>
        <w:t> Adverse events and serious adverse events in women were similar between arms. No deaths or neonatal deaths were reported. Only 1.2% (3/258) of born babies had severe congenital abnormalities reported in the TAU arm only.</w:t>
      </w:r>
    </w:p>
    <w:p w:rsidR="00F16B33" w:rsidRPr="00F16B33" w:rsidRDefault="00F16B33" w:rsidP="00F16B33">
      <w:pPr>
        <w:spacing w:after="225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F16B33" w:rsidRPr="00F16B33" w:rsidRDefault="00F16B33" w:rsidP="00F16B3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>Limitations, reasons for caution:</w:t>
      </w:r>
    </w:p>
    <w:p w:rsidR="00F16B33" w:rsidRPr="00F16B33" w:rsidRDefault="00F16B33" w:rsidP="00F16B33">
      <w:pPr>
        <w:spacing w:after="225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The study did not include a sham procedure in the Treatment </w:t>
      </w:r>
      <w:proofErr w:type="gramStart"/>
      <w:r w:rsidRPr="00F16B33">
        <w:rPr>
          <w:rFonts w:ascii="Arial" w:eastAsia="Times New Roman" w:hAnsi="Arial" w:cs="Arial"/>
          <w:sz w:val="18"/>
          <w:szCs w:val="18"/>
          <w:lang w:val="en-US"/>
        </w:rPr>
        <w:t>As</w:t>
      </w:r>
      <w:proofErr w:type="gramEnd"/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 Usual arm but this is unlikely to have influenced the study outcomes</w:t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br/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lastRenderedPageBreak/>
        <w:t xml:space="preserve">Furthermore, the study is applicable to the demographic and ethnic distribution of the population in the UK as no overseas </w:t>
      </w:r>
      <w:proofErr w:type="spellStart"/>
      <w:r w:rsidRPr="00F16B33">
        <w:rPr>
          <w:rFonts w:ascii="Arial" w:eastAsia="Times New Roman" w:hAnsi="Arial" w:cs="Arial"/>
          <w:sz w:val="18"/>
          <w:szCs w:val="18"/>
          <w:lang w:val="en-US"/>
        </w:rPr>
        <w:t>centres</w:t>
      </w:r>
      <w:proofErr w:type="spellEnd"/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 were included.  </w:t>
      </w:r>
    </w:p>
    <w:p w:rsidR="00F16B33" w:rsidRPr="00F16B33" w:rsidRDefault="00F16B33" w:rsidP="00F16B3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>Wider implications of the findings:</w:t>
      </w:r>
    </w:p>
    <w:p w:rsidR="00F16B33" w:rsidRPr="00F16B33" w:rsidRDefault="00F16B33" w:rsidP="00F16B33">
      <w:pPr>
        <w:spacing w:after="225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Endometrial scratch is currently performed for women undergoing first time IVF/ICSI in some </w:t>
      </w:r>
      <w:proofErr w:type="spellStart"/>
      <w:r w:rsidRPr="00F16B33">
        <w:rPr>
          <w:rFonts w:ascii="Arial" w:eastAsia="Times New Roman" w:hAnsi="Arial" w:cs="Arial"/>
          <w:sz w:val="18"/>
          <w:szCs w:val="18"/>
          <w:lang w:val="en-US"/>
        </w:rPr>
        <w:t>centres</w:t>
      </w:r>
      <w:proofErr w:type="spellEnd"/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. This study provides conclusive evidence </w:t>
      </w:r>
      <w:proofErr w:type="gramStart"/>
      <w:r w:rsidRPr="00F16B33">
        <w:rPr>
          <w:rFonts w:ascii="Arial" w:eastAsia="Times New Roman" w:hAnsi="Arial" w:cs="Arial"/>
          <w:sz w:val="18"/>
          <w:szCs w:val="18"/>
          <w:lang w:val="en-US"/>
        </w:rPr>
        <w:t>that  Endometrial</w:t>
      </w:r>
      <w:proofErr w:type="gramEnd"/>
      <w:r w:rsidRPr="00F16B33">
        <w:rPr>
          <w:rFonts w:ascii="Arial" w:eastAsia="Times New Roman" w:hAnsi="Arial" w:cs="Arial"/>
          <w:sz w:val="18"/>
          <w:szCs w:val="18"/>
          <w:lang w:val="en-US"/>
        </w:rPr>
        <w:t xml:space="preserve"> Scratch is not beneficial in this population and suggests that it is time to stop this practice.  </w:t>
      </w:r>
    </w:p>
    <w:p w:rsidR="00197065" w:rsidRPr="00F16B33" w:rsidRDefault="00F16B33" w:rsidP="00F16B33">
      <w:pPr>
        <w:rPr>
          <w:lang w:val="en-US"/>
        </w:rPr>
      </w:pPr>
      <w:r w:rsidRPr="00F16B33">
        <w:rPr>
          <w:rFonts w:ascii="Arial" w:eastAsia="Times New Roman" w:hAnsi="Arial" w:cs="Arial"/>
          <w:sz w:val="18"/>
          <w:szCs w:val="18"/>
          <w:lang w:val="en-US"/>
        </w:rPr>
        <w:br/>
      </w:r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>Trial registration number: </w:t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t>-</w:t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br/>
      </w:r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>Study funding:</w:t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t> -</w:t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br/>
      </w:r>
      <w:r w:rsidRPr="00F16B33">
        <w:rPr>
          <w:rFonts w:ascii="Arial" w:eastAsia="Times New Roman" w:hAnsi="Arial" w:cs="Arial"/>
          <w:b/>
          <w:bCs/>
          <w:sz w:val="18"/>
          <w:szCs w:val="18"/>
          <w:lang w:val="en-US"/>
        </w:rPr>
        <w:t>Funding source:</w:t>
      </w:r>
      <w:r w:rsidRPr="00F16B33">
        <w:rPr>
          <w:rFonts w:ascii="Arial" w:eastAsia="Times New Roman" w:hAnsi="Arial" w:cs="Arial"/>
          <w:sz w:val="18"/>
          <w:szCs w:val="18"/>
          <w:lang w:val="en-US"/>
        </w:rPr>
        <w:t> -</w:t>
      </w:r>
      <w:bookmarkStart w:id="0" w:name="_GoBack"/>
      <w:bookmarkEnd w:id="0"/>
    </w:p>
    <w:sectPr w:rsidR="00197065" w:rsidRPr="00F16B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33"/>
    <w:rsid w:val="00197065"/>
    <w:rsid w:val="00F1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01CFD-86B1-4ABA-BC7D-F03E942D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6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6B3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F1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F16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Bauquis</dc:creator>
  <cp:keywords/>
  <dc:description/>
  <cp:lastModifiedBy>Christine Bauquis</cp:lastModifiedBy>
  <cp:revision>1</cp:revision>
  <dcterms:created xsi:type="dcterms:W3CDTF">2020-06-29T15:51:00Z</dcterms:created>
  <dcterms:modified xsi:type="dcterms:W3CDTF">2020-06-29T15:53:00Z</dcterms:modified>
</cp:coreProperties>
</file>