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B33" w:rsidRPr="00F16B33" w:rsidRDefault="00F16B33" w:rsidP="00F16B33">
      <w:pPr>
        <w:spacing w:after="30" w:line="240" w:lineRule="auto"/>
        <w:outlineLvl w:val="2"/>
        <w:rPr>
          <w:rFonts w:ascii="Arial" w:eastAsia="Times New Roman" w:hAnsi="Arial" w:cs="Arial"/>
          <w:b/>
          <w:bCs/>
          <w:sz w:val="18"/>
          <w:szCs w:val="18"/>
          <w:lang w:val="en-US"/>
        </w:rPr>
      </w:pPr>
      <w:r w:rsidRPr="00F16B33">
        <w:rPr>
          <w:rFonts w:ascii="Arial" w:eastAsia="Times New Roman" w:hAnsi="Arial" w:cs="Arial"/>
          <w:b/>
          <w:bCs/>
          <w:sz w:val="18"/>
          <w:szCs w:val="18"/>
          <w:lang w:val="en-US"/>
        </w:rPr>
        <w:t>C20-0881      </w:t>
      </w:r>
    </w:p>
    <w:p w:rsidR="00F16B33" w:rsidRPr="00F16B33" w:rsidRDefault="00F16B33" w:rsidP="00F16B33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F16B33">
        <w:rPr>
          <w:rFonts w:ascii="Arial" w:eastAsia="Times New Roman" w:hAnsi="Arial" w:cs="Arial"/>
          <w:sz w:val="18"/>
          <w:szCs w:val="18"/>
          <w:lang w:val="en-US"/>
        </w:rPr>
        <w:br/>
      </w:r>
      <w:r w:rsidRPr="00F16B33">
        <w:rPr>
          <w:rFonts w:ascii="Arial" w:eastAsia="Times New Roman" w:hAnsi="Arial" w:cs="Arial"/>
          <w:b/>
          <w:bCs/>
          <w:sz w:val="18"/>
          <w:szCs w:val="18"/>
          <w:lang w:val="en-US"/>
        </w:rPr>
        <w:t xml:space="preserve">Endometrial scratching in women undergoing their first In Vitro </w:t>
      </w:r>
      <w:proofErr w:type="spellStart"/>
      <w:r w:rsidRPr="00F16B33">
        <w:rPr>
          <w:rFonts w:ascii="Arial" w:eastAsia="Times New Roman" w:hAnsi="Arial" w:cs="Arial"/>
          <w:b/>
          <w:bCs/>
          <w:sz w:val="18"/>
          <w:szCs w:val="18"/>
          <w:lang w:val="en-US"/>
        </w:rPr>
        <w:t>Fertilisation</w:t>
      </w:r>
      <w:proofErr w:type="spellEnd"/>
      <w:r w:rsidRPr="00F16B33">
        <w:rPr>
          <w:rFonts w:ascii="Arial" w:eastAsia="Times New Roman" w:hAnsi="Arial" w:cs="Arial"/>
          <w:b/>
          <w:bCs/>
          <w:sz w:val="18"/>
          <w:szCs w:val="18"/>
          <w:lang w:val="en-US"/>
        </w:rPr>
        <w:t xml:space="preserve"> (IVF) cycle: results from the UK </w:t>
      </w:r>
      <w:proofErr w:type="spellStart"/>
      <w:r w:rsidRPr="00F16B33">
        <w:rPr>
          <w:rFonts w:ascii="Arial" w:eastAsia="Times New Roman" w:hAnsi="Arial" w:cs="Arial"/>
          <w:b/>
          <w:bCs/>
          <w:sz w:val="18"/>
          <w:szCs w:val="18"/>
          <w:lang w:val="en-US"/>
        </w:rPr>
        <w:t>Multicentre</w:t>
      </w:r>
      <w:proofErr w:type="spellEnd"/>
      <w:r w:rsidRPr="00F16B33">
        <w:rPr>
          <w:rFonts w:ascii="Arial" w:eastAsia="Times New Roman" w:hAnsi="Arial" w:cs="Arial"/>
          <w:b/>
          <w:bCs/>
          <w:sz w:val="18"/>
          <w:szCs w:val="18"/>
          <w:lang w:val="en-US"/>
        </w:rPr>
        <w:t xml:space="preserve"> Endometrial Scratch </w:t>
      </w:r>
      <w:proofErr w:type="spellStart"/>
      <w:r w:rsidRPr="00F16B33">
        <w:rPr>
          <w:rFonts w:ascii="Arial" w:eastAsia="Times New Roman" w:hAnsi="Arial" w:cs="Arial"/>
          <w:b/>
          <w:bCs/>
          <w:sz w:val="18"/>
          <w:szCs w:val="18"/>
          <w:lang w:val="en-US"/>
        </w:rPr>
        <w:t>Randomised</w:t>
      </w:r>
      <w:proofErr w:type="spellEnd"/>
      <w:r w:rsidRPr="00F16B33">
        <w:rPr>
          <w:rFonts w:ascii="Arial" w:eastAsia="Times New Roman" w:hAnsi="Arial" w:cs="Arial"/>
          <w:b/>
          <w:bCs/>
          <w:sz w:val="18"/>
          <w:szCs w:val="18"/>
          <w:lang w:val="en-US"/>
        </w:rPr>
        <w:t xml:space="preserve"> Controlled Trial</w:t>
      </w:r>
      <w:r w:rsidRPr="00F16B33">
        <w:rPr>
          <w:rFonts w:ascii="Arial" w:eastAsia="Times New Roman" w:hAnsi="Arial" w:cs="Arial"/>
          <w:sz w:val="18"/>
          <w:szCs w:val="18"/>
          <w:lang w:val="en-US"/>
        </w:rPr>
        <w:br/>
      </w:r>
      <w:r w:rsidRPr="00F16B33">
        <w:rPr>
          <w:rFonts w:ascii="Arial" w:eastAsia="Times New Roman" w:hAnsi="Arial" w:cs="Arial"/>
          <w:i/>
          <w:iCs/>
          <w:sz w:val="18"/>
          <w:szCs w:val="18"/>
          <w:u w:val="single"/>
          <w:lang w:val="en-US"/>
        </w:rPr>
        <w:t>M. Metwally</w:t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1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, R. Chatters</w:t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2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, C. Pye</w:t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1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, M. Dimairo</w:t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2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, D. White</w:t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2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, S. Walters</w:t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2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, J. Cohen</w:t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3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, T. Chater</w:t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2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, K. Pemberton</w:t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2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, T. Young</w:t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2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, R. Lomas</w:t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1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, E. Taylor</w:t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1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, S. Laird</w:t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4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, L. Mohiyiddeen</w:t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5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, Y. Cheong</w:t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6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br/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1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Sheffield teaching hospitals, Reproductive medicine, Sheffield, United Kingdom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br/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2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The University of Sheffield, Clinical Trials Unit, Sheffield, United Kingdom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br/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3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Hull York Medical School, Hull Health Trials Unit, Hull, United Kingdom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br/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4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Sheffield Hallam University, Biosciences and Chemistry, Sheffield, United Kingdom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br/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5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Manchester University Hospitals, Reproductive Medicine, Manchester, United Kingdom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br/>
      </w:r>
      <w:r w:rsidRPr="00F16B33">
        <w:rPr>
          <w:rFonts w:ascii="Arial" w:eastAsia="Times New Roman" w:hAnsi="Arial" w:cs="Arial"/>
          <w:i/>
          <w:iCs/>
          <w:sz w:val="18"/>
          <w:szCs w:val="18"/>
          <w:vertAlign w:val="superscript"/>
          <w:lang w:val="en-US"/>
        </w:rPr>
        <w:t>6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The University of Southampton, Reproductive Medicine, Southampton, United Kingdom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br/>
      </w:r>
      <w:r w:rsidRPr="00F16B33">
        <w:rPr>
          <w:rFonts w:ascii="Arial" w:eastAsia="Times New Roman" w:hAnsi="Arial" w:cs="Arial"/>
          <w:sz w:val="18"/>
          <w:szCs w:val="18"/>
          <w:lang w:val="en-US"/>
        </w:rPr>
        <w:br/>
      </w:r>
      <w:r w:rsidRPr="00F16B33">
        <w:rPr>
          <w:rFonts w:ascii="Arial" w:eastAsia="Times New Roman" w:hAnsi="Arial" w:cs="Arial"/>
          <w:b/>
          <w:bCs/>
          <w:sz w:val="18"/>
          <w:szCs w:val="18"/>
          <w:lang w:val="en-US"/>
        </w:rPr>
        <w:t>Study question:</w:t>
      </w:r>
    </w:p>
    <w:p w:rsidR="00F16B33" w:rsidRPr="00F16B33" w:rsidRDefault="00F16B33" w:rsidP="00F16B33">
      <w:pPr>
        <w:spacing w:after="225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F16B33">
        <w:rPr>
          <w:rFonts w:ascii="Arial" w:eastAsia="Times New Roman" w:hAnsi="Arial" w:cs="Arial"/>
          <w:sz w:val="18"/>
          <w:szCs w:val="18"/>
          <w:lang w:val="en-US"/>
        </w:rPr>
        <w:t>Does endometrial scratching (ES) in the mid-luteal phase prior to first time IVF/ICSI increase the chances of achieving a clinical pregnancy and live birth?</w:t>
      </w:r>
    </w:p>
    <w:p w:rsidR="00F16B33" w:rsidRPr="00F16B33" w:rsidRDefault="00F16B33" w:rsidP="00F16B33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F16B33">
        <w:rPr>
          <w:rFonts w:ascii="Arial" w:eastAsia="Times New Roman" w:hAnsi="Arial" w:cs="Arial"/>
          <w:b/>
          <w:bCs/>
          <w:sz w:val="18"/>
          <w:szCs w:val="18"/>
          <w:lang w:val="en-US"/>
        </w:rPr>
        <w:t>Summary answer:</w:t>
      </w:r>
    </w:p>
    <w:p w:rsidR="00F16B33" w:rsidRPr="00F16B33" w:rsidRDefault="00F16B33" w:rsidP="00F16B33">
      <w:pPr>
        <w:spacing w:after="225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F16B33">
        <w:rPr>
          <w:rFonts w:ascii="Arial" w:eastAsia="Times New Roman" w:hAnsi="Arial" w:cs="Arial"/>
          <w:sz w:val="18"/>
          <w:szCs w:val="18"/>
          <w:lang w:val="en-US"/>
        </w:rPr>
        <w:t>Endometrial Scratch performed prior to the first cycle of IVF/ICSI does not increase the chances of achieving a pregnancy and live birth. </w:t>
      </w:r>
    </w:p>
    <w:p w:rsidR="00F16B33" w:rsidRPr="00F16B33" w:rsidRDefault="00F16B33" w:rsidP="00F16B33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F16B33">
        <w:rPr>
          <w:rFonts w:ascii="Arial" w:eastAsia="Times New Roman" w:hAnsi="Arial" w:cs="Arial"/>
          <w:b/>
          <w:bCs/>
          <w:sz w:val="18"/>
          <w:szCs w:val="18"/>
          <w:lang w:val="en-US"/>
        </w:rPr>
        <w:t>What is known already:</w:t>
      </w:r>
    </w:p>
    <w:p w:rsidR="00F16B33" w:rsidRPr="00F16B33" w:rsidRDefault="00F16B33" w:rsidP="00F16B33">
      <w:pPr>
        <w:spacing w:after="225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F16B33">
        <w:rPr>
          <w:rFonts w:ascii="Arial" w:eastAsia="Times New Roman" w:hAnsi="Arial" w:cs="Arial"/>
          <w:sz w:val="18"/>
          <w:szCs w:val="18"/>
          <w:lang w:val="en-US"/>
        </w:rPr>
        <w:t xml:space="preserve">Endometrial Scratch is currently being provided in some fertility units where women are having IVF/ICSI for the first time. The most recent 2019 systematic review shows poor evidence to support this practice. Current studies are single </w:t>
      </w:r>
      <w:proofErr w:type="spellStart"/>
      <w:r w:rsidRPr="00F16B33">
        <w:rPr>
          <w:rFonts w:ascii="Arial" w:eastAsia="Times New Roman" w:hAnsi="Arial" w:cs="Arial"/>
          <w:sz w:val="18"/>
          <w:szCs w:val="18"/>
          <w:lang w:val="en-US"/>
        </w:rPr>
        <w:t>centre</w:t>
      </w:r>
      <w:proofErr w:type="spellEnd"/>
      <w:r w:rsidRPr="00F16B33">
        <w:rPr>
          <w:rFonts w:ascii="Arial" w:eastAsia="Times New Roman" w:hAnsi="Arial" w:cs="Arial"/>
          <w:sz w:val="18"/>
          <w:szCs w:val="18"/>
          <w:lang w:val="en-US"/>
        </w:rPr>
        <w:t>, of relatively small size and/or involve heterogeneous or unselected populations. Further evidence is therefore required from a large multi-</w:t>
      </w:r>
      <w:proofErr w:type="spellStart"/>
      <w:r w:rsidRPr="00F16B33">
        <w:rPr>
          <w:rFonts w:ascii="Arial" w:eastAsia="Times New Roman" w:hAnsi="Arial" w:cs="Arial"/>
          <w:sz w:val="18"/>
          <w:szCs w:val="18"/>
          <w:lang w:val="en-US"/>
        </w:rPr>
        <w:t>centre</w:t>
      </w:r>
      <w:proofErr w:type="spellEnd"/>
      <w:r w:rsidRPr="00F16B33">
        <w:rPr>
          <w:rFonts w:ascii="Arial" w:eastAsia="Times New Roman" w:hAnsi="Arial" w:cs="Arial"/>
          <w:sz w:val="18"/>
          <w:szCs w:val="18"/>
          <w:lang w:val="en-US"/>
        </w:rPr>
        <w:t xml:space="preserve"> </w:t>
      </w:r>
      <w:proofErr w:type="spellStart"/>
      <w:r w:rsidRPr="00F16B33">
        <w:rPr>
          <w:rFonts w:ascii="Arial" w:eastAsia="Times New Roman" w:hAnsi="Arial" w:cs="Arial"/>
          <w:sz w:val="18"/>
          <w:szCs w:val="18"/>
          <w:lang w:val="en-US"/>
        </w:rPr>
        <w:t>randomised</w:t>
      </w:r>
      <w:proofErr w:type="spellEnd"/>
      <w:r w:rsidRPr="00F16B33">
        <w:rPr>
          <w:rFonts w:ascii="Arial" w:eastAsia="Times New Roman" w:hAnsi="Arial" w:cs="Arial"/>
          <w:sz w:val="18"/>
          <w:szCs w:val="18"/>
          <w:lang w:val="en-US"/>
        </w:rPr>
        <w:t xml:space="preserve"> controlled trial looking at a homogenous population of only women undergoing first time treatment and expected to be good responders in order to </w:t>
      </w:r>
      <w:proofErr w:type="spellStart"/>
      <w:r w:rsidRPr="00F16B33">
        <w:rPr>
          <w:rFonts w:ascii="Arial" w:eastAsia="Times New Roman" w:hAnsi="Arial" w:cs="Arial"/>
          <w:sz w:val="18"/>
          <w:szCs w:val="18"/>
          <w:lang w:val="en-US"/>
        </w:rPr>
        <w:t>minimise</w:t>
      </w:r>
      <w:proofErr w:type="spellEnd"/>
      <w:r w:rsidRPr="00F16B33">
        <w:rPr>
          <w:rFonts w:ascii="Arial" w:eastAsia="Times New Roman" w:hAnsi="Arial" w:cs="Arial"/>
          <w:sz w:val="18"/>
          <w:szCs w:val="18"/>
          <w:lang w:val="en-US"/>
        </w:rPr>
        <w:t xml:space="preserve"> heterogeneity. </w:t>
      </w:r>
    </w:p>
    <w:p w:rsidR="00F16B33" w:rsidRPr="00F16B33" w:rsidRDefault="00F16B33" w:rsidP="00F16B33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F16B33">
        <w:rPr>
          <w:rFonts w:ascii="Arial" w:eastAsia="Times New Roman" w:hAnsi="Arial" w:cs="Arial"/>
          <w:b/>
          <w:bCs/>
          <w:sz w:val="18"/>
          <w:szCs w:val="18"/>
          <w:lang w:val="en-US"/>
        </w:rPr>
        <w:t>Study design, size, duration:</w:t>
      </w:r>
    </w:p>
    <w:p w:rsidR="00F16B33" w:rsidRPr="00F16B33" w:rsidRDefault="00F16B33" w:rsidP="00F16B33">
      <w:pPr>
        <w:spacing w:after="225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F16B33">
        <w:rPr>
          <w:rFonts w:ascii="Arial" w:eastAsia="Times New Roman" w:hAnsi="Arial" w:cs="Arial"/>
          <w:sz w:val="18"/>
          <w:szCs w:val="18"/>
          <w:lang w:val="en-US"/>
        </w:rPr>
        <w:t xml:space="preserve">A </w:t>
      </w:r>
      <w:proofErr w:type="spellStart"/>
      <w:r w:rsidRPr="00F16B33">
        <w:rPr>
          <w:rFonts w:ascii="Arial" w:eastAsia="Times New Roman" w:hAnsi="Arial" w:cs="Arial"/>
          <w:sz w:val="18"/>
          <w:szCs w:val="18"/>
          <w:lang w:val="en-US"/>
        </w:rPr>
        <w:t>multicentre</w:t>
      </w:r>
      <w:proofErr w:type="spellEnd"/>
      <w:r w:rsidRPr="00F16B33">
        <w:rPr>
          <w:rFonts w:ascii="Arial" w:eastAsia="Times New Roman" w:hAnsi="Arial" w:cs="Arial"/>
          <w:sz w:val="18"/>
          <w:szCs w:val="18"/>
          <w:lang w:val="en-US"/>
        </w:rPr>
        <w:t xml:space="preserve">, pragmatic, open-label, individually </w:t>
      </w:r>
      <w:proofErr w:type="spellStart"/>
      <w:r w:rsidRPr="00F16B33">
        <w:rPr>
          <w:rFonts w:ascii="Arial" w:eastAsia="Times New Roman" w:hAnsi="Arial" w:cs="Arial"/>
          <w:sz w:val="18"/>
          <w:szCs w:val="18"/>
          <w:lang w:val="en-US"/>
        </w:rPr>
        <w:t>randomised</w:t>
      </w:r>
      <w:proofErr w:type="spellEnd"/>
      <w:r w:rsidRPr="00F16B33">
        <w:rPr>
          <w:rFonts w:ascii="Arial" w:eastAsia="Times New Roman" w:hAnsi="Arial" w:cs="Arial"/>
          <w:sz w:val="18"/>
          <w:szCs w:val="18"/>
          <w:lang w:val="en-US"/>
        </w:rPr>
        <w:t xml:space="preserve"> parallel-group trial recruited women at 16 fertility </w:t>
      </w:r>
      <w:proofErr w:type="spellStart"/>
      <w:r w:rsidRPr="00F16B33">
        <w:rPr>
          <w:rFonts w:ascii="Arial" w:eastAsia="Times New Roman" w:hAnsi="Arial" w:cs="Arial"/>
          <w:sz w:val="18"/>
          <w:szCs w:val="18"/>
          <w:lang w:val="en-US"/>
        </w:rPr>
        <w:t>centres</w:t>
      </w:r>
      <w:proofErr w:type="spellEnd"/>
      <w:r w:rsidRPr="00F16B33">
        <w:rPr>
          <w:rFonts w:ascii="Arial" w:eastAsia="Times New Roman" w:hAnsi="Arial" w:cs="Arial"/>
          <w:sz w:val="18"/>
          <w:szCs w:val="18"/>
          <w:lang w:val="en-US"/>
        </w:rPr>
        <w:t xml:space="preserve"> across the UK from July 2016 to Oct 2019. We planned to recruit 1044 women (522 per arm) to preserve a power of 90% and 5% two-sided type I error assuming a 30% live birth rate in treatment as usual (TAU), a 10% absolute difference between TAU and Endometrial Scratch (ES) arms (more likely to change practice), and 5% dropout rate. </w:t>
      </w:r>
    </w:p>
    <w:p w:rsidR="00F16B33" w:rsidRPr="00F16B33" w:rsidRDefault="00F16B33" w:rsidP="00F16B33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F16B33">
        <w:rPr>
          <w:rFonts w:ascii="Arial" w:eastAsia="Times New Roman" w:hAnsi="Arial" w:cs="Arial"/>
          <w:b/>
          <w:bCs/>
          <w:sz w:val="18"/>
          <w:szCs w:val="18"/>
          <w:lang w:val="en-US"/>
        </w:rPr>
        <w:t>Participants/materials, setting, methods:</w:t>
      </w:r>
    </w:p>
    <w:p w:rsidR="00F16B33" w:rsidRPr="00F16B33" w:rsidRDefault="00F16B33" w:rsidP="00F16B33">
      <w:pPr>
        <w:spacing w:after="225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F16B33">
        <w:rPr>
          <w:rFonts w:ascii="Arial" w:eastAsia="Times New Roman" w:hAnsi="Arial" w:cs="Arial"/>
          <w:sz w:val="18"/>
          <w:szCs w:val="18"/>
          <w:lang w:val="en-US"/>
        </w:rPr>
        <w:t>Women aged ≥18 and ≤37 undergoing their first IVF cycle, BMI &lt;35 kg/m</w:t>
      </w:r>
      <w:r w:rsidRPr="00F16B33">
        <w:rPr>
          <w:rFonts w:ascii="Arial" w:eastAsia="Times New Roman" w:hAnsi="Arial" w:cs="Arial"/>
          <w:sz w:val="18"/>
          <w:szCs w:val="18"/>
          <w:vertAlign w:val="superscript"/>
          <w:lang w:val="en-US"/>
        </w:rPr>
        <w:t>2</w:t>
      </w:r>
      <w:r w:rsidRPr="00F16B33">
        <w:rPr>
          <w:rFonts w:ascii="Arial" w:eastAsia="Times New Roman" w:hAnsi="Arial" w:cs="Arial"/>
          <w:sz w:val="18"/>
          <w:szCs w:val="18"/>
          <w:lang w:val="en-US"/>
        </w:rPr>
        <w:t xml:space="preserve"> and expected to be good responders were eligible. ES was undertaken in the mid-luteal phase prior to IVF/ICSI. Women were </w:t>
      </w:r>
      <w:proofErr w:type="spellStart"/>
      <w:r w:rsidRPr="00F16B33">
        <w:rPr>
          <w:rFonts w:ascii="Arial" w:eastAsia="Times New Roman" w:hAnsi="Arial" w:cs="Arial"/>
          <w:sz w:val="18"/>
          <w:szCs w:val="18"/>
          <w:lang w:val="en-US"/>
        </w:rPr>
        <w:t>randomised</w:t>
      </w:r>
      <w:proofErr w:type="spellEnd"/>
      <w:r w:rsidRPr="00F16B33">
        <w:rPr>
          <w:rFonts w:ascii="Arial" w:eastAsia="Times New Roman" w:hAnsi="Arial" w:cs="Arial"/>
          <w:sz w:val="18"/>
          <w:szCs w:val="18"/>
          <w:lang w:val="en-US"/>
        </w:rPr>
        <w:t xml:space="preserve"> 1:1 to either ES or IVF/ICSI (TAU), using a web-based stratified block </w:t>
      </w:r>
      <w:proofErr w:type="spellStart"/>
      <w:r w:rsidRPr="00F16B33">
        <w:rPr>
          <w:rFonts w:ascii="Arial" w:eastAsia="Times New Roman" w:hAnsi="Arial" w:cs="Arial"/>
          <w:sz w:val="18"/>
          <w:szCs w:val="18"/>
          <w:lang w:val="en-US"/>
        </w:rPr>
        <w:t>randomisation</w:t>
      </w:r>
      <w:proofErr w:type="spellEnd"/>
      <w:r w:rsidRPr="00F16B33">
        <w:rPr>
          <w:rFonts w:ascii="Arial" w:eastAsia="Times New Roman" w:hAnsi="Arial" w:cs="Arial"/>
          <w:sz w:val="18"/>
          <w:szCs w:val="18"/>
          <w:lang w:val="en-US"/>
        </w:rPr>
        <w:t>. The primary outcome was live birth (LBR); secondary outcomes included clinical pregnancy (CPR), implantation (IR), ectopic pregnancy (ER), miscarriage (MR), preterm delivery (PDR), stillbirth (SBR) rates and safety.</w:t>
      </w:r>
    </w:p>
    <w:p w:rsidR="00F16B33" w:rsidRPr="00F16B33" w:rsidRDefault="00F16B33" w:rsidP="00F16B33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F16B33">
        <w:rPr>
          <w:rFonts w:ascii="Arial" w:eastAsia="Times New Roman" w:hAnsi="Arial" w:cs="Arial"/>
          <w:b/>
          <w:bCs/>
          <w:sz w:val="18"/>
          <w:szCs w:val="18"/>
          <w:lang w:val="en-US"/>
        </w:rPr>
        <w:t>Main results and the role of chance:</w:t>
      </w:r>
    </w:p>
    <w:p w:rsidR="00F16B33" w:rsidRPr="00F16B33" w:rsidRDefault="00F16B33" w:rsidP="00F16B33">
      <w:pPr>
        <w:spacing w:after="225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F16B33">
        <w:rPr>
          <w:rFonts w:ascii="Arial" w:eastAsia="Times New Roman" w:hAnsi="Arial" w:cs="Arial"/>
          <w:sz w:val="18"/>
          <w:szCs w:val="18"/>
          <w:lang w:val="en-US"/>
        </w:rPr>
        <w:t xml:space="preserve">1048 women were </w:t>
      </w:r>
      <w:proofErr w:type="spellStart"/>
      <w:r w:rsidRPr="00F16B33">
        <w:rPr>
          <w:rFonts w:ascii="Arial" w:eastAsia="Times New Roman" w:hAnsi="Arial" w:cs="Arial"/>
          <w:sz w:val="18"/>
          <w:szCs w:val="18"/>
          <w:lang w:val="en-US"/>
        </w:rPr>
        <w:t>randomised</w:t>
      </w:r>
      <w:proofErr w:type="spellEnd"/>
      <w:r w:rsidRPr="00F16B33">
        <w:rPr>
          <w:rFonts w:ascii="Arial" w:eastAsia="Times New Roman" w:hAnsi="Arial" w:cs="Arial"/>
          <w:sz w:val="18"/>
          <w:szCs w:val="18"/>
          <w:lang w:val="en-US"/>
        </w:rPr>
        <w:t xml:space="preserve"> TAU (n=525) and ES (n=523). Mean age and BMI (standard deviation) was 32.5(3.4) years and 24.5 (3.3) kg/m</w:t>
      </w:r>
      <w:r w:rsidRPr="00F16B33">
        <w:rPr>
          <w:rFonts w:ascii="Arial" w:eastAsia="Times New Roman" w:hAnsi="Arial" w:cs="Arial"/>
          <w:sz w:val="18"/>
          <w:szCs w:val="18"/>
          <w:vertAlign w:val="superscript"/>
          <w:lang w:val="en-US"/>
        </w:rPr>
        <w:t>2</w:t>
      </w:r>
      <w:r w:rsidRPr="00F16B33">
        <w:rPr>
          <w:rFonts w:ascii="Arial" w:eastAsia="Times New Roman" w:hAnsi="Arial" w:cs="Arial"/>
          <w:sz w:val="18"/>
          <w:szCs w:val="18"/>
          <w:lang w:val="en-US"/>
        </w:rPr>
        <w:t>. Baseline characteristics were similar between arms.</w:t>
      </w:r>
    </w:p>
    <w:p w:rsidR="00F16B33" w:rsidRPr="00F16B33" w:rsidRDefault="00F16B33" w:rsidP="00F16B33">
      <w:pPr>
        <w:spacing w:after="225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F16B33">
        <w:rPr>
          <w:rFonts w:ascii="Arial" w:eastAsia="Times New Roman" w:hAnsi="Arial" w:cs="Arial"/>
          <w:sz w:val="18"/>
          <w:szCs w:val="18"/>
          <w:lang w:val="en-US"/>
        </w:rPr>
        <w:t>In the ES arm, 86.6% (453/523) received the ES procedure. IVF/ICSI was received by 94.1% (494/525) in the TAU and 95.0% (497/523) in the ES arm. For the primary outcome, LBR was 37.1% (195/525) in the TAU and 38.4% (201/523) in the ES (Unadjusted: 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difference</w:t>
      </w:r>
      <w:r w:rsidRPr="00F16B33">
        <w:rPr>
          <w:rFonts w:ascii="Arial" w:eastAsia="Times New Roman" w:hAnsi="Arial" w:cs="Arial"/>
          <w:sz w:val="18"/>
          <w:szCs w:val="18"/>
          <w:lang w:val="en-US"/>
        </w:rPr>
        <w:t>, 1.3% [95%CI, -4.6% to 7.2%]; 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relative risk</w:t>
      </w:r>
      <w:r w:rsidRPr="00F16B33">
        <w:rPr>
          <w:rFonts w:ascii="Arial" w:eastAsia="Times New Roman" w:hAnsi="Arial" w:cs="Arial"/>
          <w:sz w:val="18"/>
          <w:szCs w:val="18"/>
          <w:lang w:val="en-US"/>
        </w:rPr>
        <w:t>, 1.03 [95%CI, 0.89 to 1.21]; 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odds ratio</w:t>
      </w:r>
      <w:r w:rsidRPr="00F16B33">
        <w:rPr>
          <w:rFonts w:ascii="Arial" w:eastAsia="Times New Roman" w:hAnsi="Arial" w:cs="Arial"/>
          <w:sz w:val="18"/>
          <w:szCs w:val="18"/>
          <w:lang w:val="en-US"/>
        </w:rPr>
        <w:t>, 1.06 [95%CI, 0.82 to 1.36]; P-value = 0.667).</w:t>
      </w:r>
    </w:p>
    <w:p w:rsidR="00F16B33" w:rsidRPr="00F16B33" w:rsidRDefault="00F16B33" w:rsidP="00F16B33">
      <w:pPr>
        <w:spacing w:after="225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F16B33">
        <w:rPr>
          <w:rFonts w:ascii="Arial" w:eastAsia="Times New Roman" w:hAnsi="Arial" w:cs="Arial"/>
          <w:sz w:val="18"/>
          <w:szCs w:val="18"/>
          <w:lang w:val="en-US"/>
        </w:rPr>
        <w:t>For the secondary outcomes, CPR was 40.6% (213/525) in TAU and 42.4% (222/523) in ES arm (Unadjusted: 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difference</w:t>
      </w:r>
      <w:r w:rsidRPr="00F16B33">
        <w:rPr>
          <w:rFonts w:ascii="Arial" w:eastAsia="Times New Roman" w:hAnsi="Arial" w:cs="Arial"/>
          <w:sz w:val="18"/>
          <w:szCs w:val="18"/>
          <w:lang w:val="en-US"/>
        </w:rPr>
        <w:t>, 1.9% [95%CI, -4.1% to 7.8%]; 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relative risk</w:t>
      </w:r>
      <w:r w:rsidRPr="00F16B33">
        <w:rPr>
          <w:rFonts w:ascii="Arial" w:eastAsia="Times New Roman" w:hAnsi="Arial" w:cs="Arial"/>
          <w:sz w:val="18"/>
          <w:szCs w:val="18"/>
          <w:lang w:val="en-US"/>
        </w:rPr>
        <w:t>, 1.05 [95%CI, 0.91 to 1.21]; </w:t>
      </w:r>
      <w:r w:rsidRPr="00F16B33">
        <w:rPr>
          <w:rFonts w:ascii="Arial" w:eastAsia="Times New Roman" w:hAnsi="Arial" w:cs="Arial"/>
          <w:i/>
          <w:iCs/>
          <w:sz w:val="18"/>
          <w:szCs w:val="18"/>
          <w:lang w:val="en-US"/>
        </w:rPr>
        <w:t>odds ratio</w:t>
      </w:r>
      <w:r w:rsidRPr="00F16B33">
        <w:rPr>
          <w:rFonts w:ascii="Arial" w:eastAsia="Times New Roman" w:hAnsi="Arial" w:cs="Arial"/>
          <w:sz w:val="18"/>
          <w:szCs w:val="18"/>
          <w:lang w:val="en-US"/>
        </w:rPr>
        <w:t>, 1.08 [95%CI, 0.84 to 1.38]; P-value = 0.538). All the other secondary outcomes (IR, EPR, MR, MBR, PDR, and SBR) were all similar between arms. </w:t>
      </w:r>
    </w:p>
    <w:p w:rsidR="00F16B33" w:rsidRPr="00F16B33" w:rsidRDefault="00F16B33" w:rsidP="00F16B33">
      <w:pPr>
        <w:spacing w:after="225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F16B33">
        <w:rPr>
          <w:rFonts w:ascii="Arial" w:eastAsia="Times New Roman" w:hAnsi="Arial" w:cs="Arial"/>
          <w:sz w:val="18"/>
          <w:szCs w:val="18"/>
          <w:lang w:val="en-US"/>
        </w:rPr>
        <w:t> Adverse events and serious adverse events in women were similar between arms. No deaths or neonatal deaths were reported. Only 1.2% (3/258) of born babies had severe congenital abnormalities reported in the TAU arm only.</w:t>
      </w:r>
    </w:p>
    <w:p w:rsidR="00F16B33" w:rsidRPr="00F16B33" w:rsidRDefault="00F16B33" w:rsidP="00F16B33">
      <w:pPr>
        <w:spacing w:after="225"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:rsidR="00F16B33" w:rsidRPr="00F16B33" w:rsidRDefault="00F16B33" w:rsidP="00F16B33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F16B33">
        <w:rPr>
          <w:rFonts w:ascii="Arial" w:eastAsia="Times New Roman" w:hAnsi="Arial" w:cs="Arial"/>
          <w:b/>
          <w:bCs/>
          <w:sz w:val="18"/>
          <w:szCs w:val="18"/>
          <w:lang w:val="en-US"/>
        </w:rPr>
        <w:t>Limitations, reasons for caution:</w:t>
      </w:r>
    </w:p>
    <w:p w:rsidR="00F16B33" w:rsidRPr="00F16B33" w:rsidRDefault="00F16B33" w:rsidP="00F16B33">
      <w:pPr>
        <w:spacing w:after="225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F16B33">
        <w:rPr>
          <w:rFonts w:ascii="Arial" w:eastAsia="Times New Roman" w:hAnsi="Arial" w:cs="Arial"/>
          <w:sz w:val="18"/>
          <w:szCs w:val="18"/>
          <w:lang w:val="en-US"/>
        </w:rPr>
        <w:t xml:space="preserve">The study did not include a sham procedure in the Treatment </w:t>
      </w:r>
      <w:proofErr w:type="gramStart"/>
      <w:r w:rsidRPr="00F16B33">
        <w:rPr>
          <w:rFonts w:ascii="Arial" w:eastAsia="Times New Roman" w:hAnsi="Arial" w:cs="Arial"/>
          <w:sz w:val="18"/>
          <w:szCs w:val="18"/>
          <w:lang w:val="en-US"/>
        </w:rPr>
        <w:t>As</w:t>
      </w:r>
      <w:proofErr w:type="gramEnd"/>
      <w:r w:rsidRPr="00F16B33">
        <w:rPr>
          <w:rFonts w:ascii="Arial" w:eastAsia="Times New Roman" w:hAnsi="Arial" w:cs="Arial"/>
          <w:sz w:val="18"/>
          <w:szCs w:val="18"/>
          <w:lang w:val="en-US"/>
        </w:rPr>
        <w:t xml:space="preserve"> Usual arm but this is unlikely to have influenced the study outcomes</w:t>
      </w:r>
      <w:r w:rsidRPr="00F16B33">
        <w:rPr>
          <w:rFonts w:ascii="Arial" w:eastAsia="Times New Roman" w:hAnsi="Arial" w:cs="Arial"/>
          <w:sz w:val="18"/>
          <w:szCs w:val="18"/>
          <w:lang w:val="en-US"/>
        </w:rPr>
        <w:br/>
      </w:r>
      <w:r w:rsidRPr="00F16B33">
        <w:rPr>
          <w:rFonts w:ascii="Arial" w:eastAsia="Times New Roman" w:hAnsi="Arial" w:cs="Arial"/>
          <w:sz w:val="18"/>
          <w:szCs w:val="18"/>
          <w:lang w:val="en-US"/>
        </w:rPr>
        <w:lastRenderedPageBreak/>
        <w:t xml:space="preserve">Furthermore, the study is applicable to the demographic and ethnic distribution of the population in the UK as no overseas </w:t>
      </w:r>
      <w:proofErr w:type="spellStart"/>
      <w:r w:rsidRPr="00F16B33">
        <w:rPr>
          <w:rFonts w:ascii="Arial" w:eastAsia="Times New Roman" w:hAnsi="Arial" w:cs="Arial"/>
          <w:sz w:val="18"/>
          <w:szCs w:val="18"/>
          <w:lang w:val="en-US"/>
        </w:rPr>
        <w:t>centres</w:t>
      </w:r>
      <w:proofErr w:type="spellEnd"/>
      <w:r w:rsidRPr="00F16B33">
        <w:rPr>
          <w:rFonts w:ascii="Arial" w:eastAsia="Times New Roman" w:hAnsi="Arial" w:cs="Arial"/>
          <w:sz w:val="18"/>
          <w:szCs w:val="18"/>
          <w:lang w:val="en-US"/>
        </w:rPr>
        <w:t xml:space="preserve"> were included.  </w:t>
      </w:r>
    </w:p>
    <w:p w:rsidR="00F16B33" w:rsidRPr="00F16B33" w:rsidRDefault="00F16B33" w:rsidP="00F16B33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F16B33">
        <w:rPr>
          <w:rFonts w:ascii="Arial" w:eastAsia="Times New Roman" w:hAnsi="Arial" w:cs="Arial"/>
          <w:b/>
          <w:bCs/>
          <w:sz w:val="18"/>
          <w:szCs w:val="18"/>
          <w:lang w:val="en-US"/>
        </w:rPr>
        <w:t>Wider implications of the findings:</w:t>
      </w:r>
    </w:p>
    <w:p w:rsidR="00F16B33" w:rsidRPr="00F16B33" w:rsidRDefault="00F16B33" w:rsidP="00F16B33">
      <w:pPr>
        <w:spacing w:after="225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F16B33">
        <w:rPr>
          <w:rFonts w:ascii="Arial" w:eastAsia="Times New Roman" w:hAnsi="Arial" w:cs="Arial"/>
          <w:sz w:val="18"/>
          <w:szCs w:val="18"/>
          <w:lang w:val="en-US"/>
        </w:rPr>
        <w:t xml:space="preserve">Endometrial scratch is currently performed for women undergoing first time IVF/ICSI in some </w:t>
      </w:r>
      <w:proofErr w:type="spellStart"/>
      <w:r w:rsidRPr="00F16B33">
        <w:rPr>
          <w:rFonts w:ascii="Arial" w:eastAsia="Times New Roman" w:hAnsi="Arial" w:cs="Arial"/>
          <w:sz w:val="18"/>
          <w:szCs w:val="18"/>
          <w:lang w:val="en-US"/>
        </w:rPr>
        <w:t>centres</w:t>
      </w:r>
      <w:proofErr w:type="spellEnd"/>
      <w:r w:rsidRPr="00F16B33">
        <w:rPr>
          <w:rFonts w:ascii="Arial" w:eastAsia="Times New Roman" w:hAnsi="Arial" w:cs="Arial"/>
          <w:sz w:val="18"/>
          <w:szCs w:val="18"/>
          <w:lang w:val="en-US"/>
        </w:rPr>
        <w:t xml:space="preserve">. This study provides conclusive evidence </w:t>
      </w:r>
      <w:proofErr w:type="gramStart"/>
      <w:r w:rsidRPr="00F16B33">
        <w:rPr>
          <w:rFonts w:ascii="Arial" w:eastAsia="Times New Roman" w:hAnsi="Arial" w:cs="Arial"/>
          <w:sz w:val="18"/>
          <w:szCs w:val="18"/>
          <w:lang w:val="en-US"/>
        </w:rPr>
        <w:t>that  Endometrial</w:t>
      </w:r>
      <w:proofErr w:type="gramEnd"/>
      <w:r w:rsidRPr="00F16B33">
        <w:rPr>
          <w:rFonts w:ascii="Arial" w:eastAsia="Times New Roman" w:hAnsi="Arial" w:cs="Arial"/>
          <w:sz w:val="18"/>
          <w:szCs w:val="18"/>
          <w:lang w:val="en-US"/>
        </w:rPr>
        <w:t xml:space="preserve"> Scratch is not beneficial in this population and suggests that it is time to stop this practice.  </w:t>
      </w:r>
    </w:p>
    <w:p w:rsidR="00197065" w:rsidRPr="00F16B33" w:rsidRDefault="00F16B33" w:rsidP="00F16B33">
      <w:pPr>
        <w:rPr>
          <w:lang w:val="en-US"/>
        </w:rPr>
      </w:pPr>
      <w:r w:rsidRPr="00F16B33">
        <w:rPr>
          <w:rFonts w:ascii="Arial" w:eastAsia="Times New Roman" w:hAnsi="Arial" w:cs="Arial"/>
          <w:sz w:val="18"/>
          <w:szCs w:val="18"/>
          <w:lang w:val="en-US"/>
        </w:rPr>
        <w:br/>
      </w:r>
      <w:r w:rsidRPr="00F16B33">
        <w:rPr>
          <w:rFonts w:ascii="Arial" w:eastAsia="Times New Roman" w:hAnsi="Arial" w:cs="Arial"/>
          <w:b/>
          <w:bCs/>
          <w:sz w:val="18"/>
          <w:szCs w:val="18"/>
          <w:lang w:val="en-US"/>
        </w:rPr>
        <w:t>Trial registration number: </w:t>
      </w:r>
      <w:r w:rsidRPr="00F16B33">
        <w:rPr>
          <w:rFonts w:ascii="Arial" w:eastAsia="Times New Roman" w:hAnsi="Arial" w:cs="Arial"/>
          <w:sz w:val="18"/>
          <w:szCs w:val="18"/>
          <w:lang w:val="en-US"/>
        </w:rPr>
        <w:t>-</w:t>
      </w:r>
      <w:r w:rsidRPr="00F16B33">
        <w:rPr>
          <w:rFonts w:ascii="Arial" w:eastAsia="Times New Roman" w:hAnsi="Arial" w:cs="Arial"/>
          <w:sz w:val="18"/>
          <w:szCs w:val="18"/>
          <w:lang w:val="en-US"/>
        </w:rPr>
        <w:br/>
      </w:r>
      <w:r w:rsidRPr="00F16B33">
        <w:rPr>
          <w:rFonts w:ascii="Arial" w:eastAsia="Times New Roman" w:hAnsi="Arial" w:cs="Arial"/>
          <w:b/>
          <w:bCs/>
          <w:sz w:val="18"/>
          <w:szCs w:val="18"/>
          <w:lang w:val="en-US"/>
        </w:rPr>
        <w:t>Study funding:</w:t>
      </w:r>
      <w:r w:rsidRPr="00F16B33">
        <w:rPr>
          <w:rFonts w:ascii="Arial" w:eastAsia="Times New Roman" w:hAnsi="Arial" w:cs="Arial"/>
          <w:sz w:val="18"/>
          <w:szCs w:val="18"/>
          <w:lang w:val="en-US"/>
        </w:rPr>
        <w:t> -</w:t>
      </w:r>
      <w:r w:rsidRPr="00F16B33">
        <w:rPr>
          <w:rFonts w:ascii="Arial" w:eastAsia="Times New Roman" w:hAnsi="Arial" w:cs="Arial"/>
          <w:sz w:val="18"/>
          <w:szCs w:val="18"/>
          <w:lang w:val="en-US"/>
        </w:rPr>
        <w:br/>
      </w:r>
      <w:r w:rsidRPr="00F16B33">
        <w:rPr>
          <w:rFonts w:ascii="Arial" w:eastAsia="Times New Roman" w:hAnsi="Arial" w:cs="Arial"/>
          <w:b/>
          <w:bCs/>
          <w:sz w:val="18"/>
          <w:szCs w:val="18"/>
          <w:lang w:val="en-US"/>
        </w:rPr>
        <w:t>Funding source:</w:t>
      </w:r>
      <w:r w:rsidRPr="00F16B33">
        <w:rPr>
          <w:rFonts w:ascii="Arial" w:eastAsia="Times New Roman" w:hAnsi="Arial" w:cs="Arial"/>
          <w:sz w:val="18"/>
          <w:szCs w:val="18"/>
          <w:lang w:val="en-US"/>
        </w:rPr>
        <w:t> -</w:t>
      </w:r>
      <w:bookmarkStart w:id="0" w:name="_GoBack"/>
      <w:bookmarkEnd w:id="0"/>
    </w:p>
    <w:sectPr w:rsidR="00197065" w:rsidRPr="00F16B3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B33"/>
    <w:rsid w:val="00197065"/>
    <w:rsid w:val="00F1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501CFD-86B1-4ABA-BC7D-F03E942D9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16B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16B33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NormalWeb">
    <w:name w:val="Normal (Web)"/>
    <w:basedOn w:val="Normal"/>
    <w:uiPriority w:val="99"/>
    <w:semiHidden/>
    <w:unhideWhenUsed/>
    <w:rsid w:val="00F16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F16B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Bauquis</dc:creator>
  <cp:keywords/>
  <dc:description/>
  <cp:lastModifiedBy>Christine Bauquis</cp:lastModifiedBy>
  <cp:revision>1</cp:revision>
  <dcterms:created xsi:type="dcterms:W3CDTF">2020-06-29T15:51:00Z</dcterms:created>
  <dcterms:modified xsi:type="dcterms:W3CDTF">2020-06-29T15:53:00Z</dcterms:modified>
</cp:coreProperties>
</file>