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B0" w:rsidRPr="007233B0" w:rsidRDefault="007233B0" w:rsidP="00723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Can we detect a biologically relevant quantity of Anti-Mullerian Hormone (AMH) in human hair samples?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u w:val="single"/>
          <w:lang w:val="en-US"/>
        </w:rPr>
        <w:t>S. </w:t>
      </w:r>
      <w:bookmarkStart w:id="0" w:name="_GoBack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u w:val="single"/>
          <w:lang w:val="en-US"/>
        </w:rPr>
        <w:t>Sawarkar</w:t>
      </w:r>
      <w:bookmarkEnd w:id="0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1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M.Á. Rodríguez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2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L. Garcia-Calvo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2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A. Carbajal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2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B. Ring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1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Y.C. Vives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3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M.H. Duvison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4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A. Crisci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1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C.O. Marieta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5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M. Jimenez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6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S. Munne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1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M. Bejar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2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1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MedAnswers Inc., Research Development &amp; Analytics, San Pedro, U.S.A.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2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Universitat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Autònoma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 de Barcelona, Dpt. Animal Health and Anatomy Veterinary Faculty, Barcelona, Spain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3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Complejo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hospitalario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Ruber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 Juan Bravo, Unidad de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Reproducción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Asistida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Madrid, Spain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4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 xml:space="preserve">Ginemed, 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Reproduccion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asistida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en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Clinicas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Seville, Spain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5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 xml:space="preserve">CER Santander, 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Medicina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 de la </w:t>
      </w:r>
      <w:proofErr w:type="spellStart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reproducción</w:t>
      </w:r>
      <w:proofErr w:type="spellEnd"/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, Cantabria, Spain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vertAlign w:val="superscript"/>
          <w:lang w:val="en-US"/>
        </w:rPr>
        <w:t>6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Sinae, Research, Seville, Spain</w:t>
      </w:r>
      <w:r w:rsidRPr="007233B0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Study question:</w:t>
      </w:r>
    </w:p>
    <w:p w:rsidR="007233B0" w:rsidRPr="007233B0" w:rsidRDefault="007233B0" w:rsidP="007233B0">
      <w:pPr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Can we detect a biologically relevant quantity of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Anti-Mullerian Hormone (AMH)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in human hair samples?</w:t>
      </w:r>
    </w:p>
    <w:p w:rsidR="007233B0" w:rsidRPr="007233B0" w:rsidRDefault="007233B0" w:rsidP="00723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Summary answer:</w:t>
      </w:r>
    </w:p>
    <w:p w:rsidR="007233B0" w:rsidRPr="007233B0" w:rsidRDefault="007233B0" w:rsidP="007233B0">
      <w:pPr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AMH can be detected in human hair samples, and levels of AMH in hair are correlative to maternal age.</w:t>
      </w:r>
    </w:p>
    <w:p w:rsidR="007233B0" w:rsidRPr="007233B0" w:rsidRDefault="007233B0" w:rsidP="00723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What is known already:</w:t>
      </w:r>
    </w:p>
    <w:p w:rsidR="007233B0" w:rsidRPr="007233B0" w:rsidRDefault="007233B0" w:rsidP="007233B0">
      <w:pPr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 xml:space="preserve">AMH is a product of granulosa cells of the preantral and small antral follicles in women. Hence, AMH is often used as a biomarker in assessing fertility. Typically, circulating levels of AMH are tested using blood samples obtained invasively through median cubital vein punctures. Hormone concentrations in hair may serve as a comparable and possibly superior means </w:t>
      </w:r>
      <w:proofErr w:type="gramStart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of  assaying</w:t>
      </w:r>
      <w:proofErr w:type="gramEnd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 xml:space="preserve"> hormone levels accrued over longer periods of time. Detection of steroid hormones in hair has been used in </w:t>
      </w:r>
      <w:proofErr w:type="spellStart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psychoneuroendocrinological</w:t>
      </w:r>
      <w:proofErr w:type="spellEnd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 xml:space="preserve"> studies in human and companion, farm and wild animals. This study represents the first quantification of AMH levels in hair in humans.</w:t>
      </w:r>
    </w:p>
    <w:p w:rsidR="007233B0" w:rsidRPr="007233B0" w:rsidRDefault="007233B0" w:rsidP="00723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Study design, size, duration:</w:t>
      </w:r>
    </w:p>
    <w:p w:rsidR="007233B0" w:rsidRPr="007233B0" w:rsidRDefault="007233B0" w:rsidP="007233B0">
      <w:pPr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The study design was prospective in nature. A total of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(n=152)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human female participants between the ages of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18-65 years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were included in the study over a period of 10 months (recruitment ongoing).</w:t>
      </w:r>
    </w:p>
    <w:p w:rsidR="007233B0" w:rsidRPr="007233B0" w:rsidRDefault="007233B0" w:rsidP="00723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Participants/materials, setting, methods:</w:t>
      </w:r>
    </w:p>
    <w:p w:rsidR="007233B0" w:rsidRPr="007233B0" w:rsidRDefault="007233B0" w:rsidP="007233B0">
      <w:pPr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Sample collection was performed in a clinical setting. Blood and hair samples were collected from patients by nurses. Hair follicles are not required. A doctor or a clinical technician performed the ultrasound for measuring the antral follicle count (AFC). Biologically active AMH was extracted from hair using a proprietary method. AMH presence in hair extract was confirmed using Western Blotting. AMH was measured in plasma and serum by ELISA.</w:t>
      </w:r>
    </w:p>
    <w:p w:rsidR="007233B0" w:rsidRPr="007233B0" w:rsidRDefault="007233B0" w:rsidP="00723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Main results and the role of chance:</w:t>
      </w:r>
    </w:p>
    <w:p w:rsidR="007233B0" w:rsidRPr="007233B0" w:rsidRDefault="007233B0" w:rsidP="007233B0">
      <w:pPr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AMH was successfully detected in samples (n=152) via western blots on denatured gel with bands at 70kDa. An average level of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 xml:space="preserve">9.37 </w:t>
      </w:r>
      <w:proofErr w:type="spellStart"/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pg</w:t>
      </w:r>
      <w:proofErr w:type="spellEnd"/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/ml (95%CI 6.77-12)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was detected in hair and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3.68 ng/ml (95%CI 2.79-4.56)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in serum in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age-group &lt;25 yrs.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 xml:space="preserve"> This </w:t>
      </w:r>
      <w:proofErr w:type="gramStart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is in contrast to</w:t>
      </w:r>
      <w:proofErr w:type="gramEnd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 xml:space="preserve"> the age group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&gt;39 years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, within which a mean of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 xml:space="preserve">3.02 </w:t>
      </w:r>
      <w:proofErr w:type="spellStart"/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pg</w:t>
      </w:r>
      <w:proofErr w:type="spellEnd"/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/ml (95%CI 2.19-3.85)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AMH detected in hair and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0.92 ng/ml (95%CI 0.43-1.41)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in serum samples. AMH measured in hair correlated with age more strongly than plasma AMH </w:t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(p-value =1.26 x10-5 (hair), p-value 0.088 (serum)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). AMH levels in hair also strongly correlated with antral follicle count (AFC).</w:t>
      </w:r>
    </w:p>
    <w:p w:rsidR="007233B0" w:rsidRPr="007233B0" w:rsidRDefault="007233B0" w:rsidP="00723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Limitations, reasons for caution:</w:t>
      </w:r>
    </w:p>
    <w:p w:rsidR="007233B0" w:rsidRPr="007233B0" w:rsidRDefault="007233B0" w:rsidP="007233B0">
      <w:pPr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 xml:space="preserve">Hair is a medium that can accumulate biomarkers </w:t>
      </w:r>
      <w:proofErr w:type="gramStart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over  several</w:t>
      </w:r>
      <w:proofErr w:type="gramEnd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 xml:space="preserve"> weeks, while serum is an acute matrix representing only current levels. Range of detection of AMH in hair was wide within individuals from a similar age cohort. AFC testing was included in the study laterally and has limited data points.</w:t>
      </w:r>
    </w:p>
    <w:p w:rsidR="007233B0" w:rsidRPr="007233B0" w:rsidRDefault="007233B0" w:rsidP="00723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Wider implications of the findings:</w:t>
      </w:r>
    </w:p>
    <w:p w:rsidR="007233B0" w:rsidRPr="007233B0" w:rsidRDefault="007233B0" w:rsidP="007233B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We have a novel method of detecting AMH in a longitudinal matrix (hair) that could be a more appropriate representation of hormone levels compared to acute matrices like serum or saliva. Moreover, our method is also the only truly non-invasive method for testing fertility hormones.</w:t>
      </w:r>
    </w:p>
    <w:p w:rsidR="00197065" w:rsidRPr="007233B0" w:rsidRDefault="007233B0" w:rsidP="007233B0">
      <w:pPr>
        <w:rPr>
          <w:lang w:val="en-US"/>
        </w:rPr>
      </w:pP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Trial registration number: 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Not Applicable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Study funding: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No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br/>
      </w:r>
      <w:r w:rsidRPr="007233B0">
        <w:rPr>
          <w:rFonts w:ascii="Arial" w:eastAsia="Times New Roman" w:hAnsi="Arial" w:cs="Arial"/>
          <w:b/>
          <w:bCs/>
          <w:color w:val="333333"/>
          <w:sz w:val="18"/>
          <w:szCs w:val="18"/>
          <w:lang w:val="en-US"/>
        </w:rPr>
        <w:t>Funding source:</w:t>
      </w:r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 Funding by commercial/corporate company(</w:t>
      </w:r>
      <w:proofErr w:type="spellStart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ies</w:t>
      </w:r>
      <w:proofErr w:type="spellEnd"/>
      <w:r w:rsidRPr="007233B0">
        <w:rPr>
          <w:rFonts w:ascii="Arial" w:eastAsia="Times New Roman" w:hAnsi="Arial" w:cs="Arial"/>
          <w:color w:val="333333"/>
          <w:sz w:val="18"/>
          <w:szCs w:val="18"/>
          <w:lang w:val="en-US"/>
        </w:rPr>
        <w:t>)</w:t>
      </w:r>
    </w:p>
    <w:sectPr w:rsidR="00197065" w:rsidRPr="007233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0"/>
    <w:rsid w:val="00197065"/>
    <w:rsid w:val="0072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BCBF0-C347-408A-B029-E011113F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23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Bauquis</dc:creator>
  <cp:keywords/>
  <dc:description/>
  <cp:lastModifiedBy>Christine Bauquis</cp:lastModifiedBy>
  <cp:revision>1</cp:revision>
  <dcterms:created xsi:type="dcterms:W3CDTF">2020-06-29T16:29:00Z</dcterms:created>
  <dcterms:modified xsi:type="dcterms:W3CDTF">2020-06-29T16:30:00Z</dcterms:modified>
</cp:coreProperties>
</file>