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33B0" w:rsidRPr="007233B0" w:rsidRDefault="007233B0" w:rsidP="0072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33B0">
        <w:rPr>
          <w:rFonts w:ascii="Arial" w:eastAsia="Times New Roman" w:hAnsi="Arial" w:cs="Arial"/>
          <w:b/>
          <w:bCs/>
          <w:color w:val="333333"/>
          <w:sz w:val="18"/>
          <w:szCs w:val="18"/>
          <w:lang w:val="en-US"/>
        </w:rPr>
        <w:t>Can we detect a biologically relevant quantity of Anti-Mullerian Hormone (AMH) in human hair samples?</w:t>
      </w:r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br/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val="en-US"/>
        </w:rPr>
        <w:t>S. </w:t>
      </w:r>
      <w:bookmarkStart w:id="0" w:name="_GoBack"/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u w:val="single"/>
          <w:lang w:val="en-US"/>
        </w:rPr>
        <w:t>Sawarkar</w:t>
      </w:r>
      <w:bookmarkEnd w:id="0"/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val="en-US"/>
        </w:rPr>
        <w:t>1</w:t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, M.Á. Rodríguez</w:t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val="en-US"/>
        </w:rPr>
        <w:t>2</w:t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, L. Garcia-Calvo</w:t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val="en-US"/>
        </w:rPr>
        <w:t>2</w:t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, A. Carbajal</w:t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val="en-US"/>
        </w:rPr>
        <w:t>2</w:t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, B. Ring</w:t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val="en-US"/>
        </w:rPr>
        <w:t>1</w:t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, Y.C. Vives</w:t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val="en-US"/>
        </w:rPr>
        <w:t>3</w:t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, M.H. Duvison</w:t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val="en-US"/>
        </w:rPr>
        <w:t>4</w:t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, A. Crisci</w:t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val="en-US"/>
        </w:rPr>
        <w:t>1</w:t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, C.O. Marieta</w:t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val="en-US"/>
        </w:rPr>
        <w:t>5</w:t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, M. Jimenez</w:t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val="en-US"/>
        </w:rPr>
        <w:t>6</w:t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, S. Munne</w:t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val="en-US"/>
        </w:rPr>
        <w:t>1</w:t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, M. Bejar</w:t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val="en-US"/>
        </w:rPr>
        <w:t>2</w:t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br/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val="en-US"/>
        </w:rPr>
        <w:t>1</w:t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MedAnswers Inc., Research Development &amp; Analytics, San Pedro, U.S.A.</w:t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br/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val="en-US"/>
        </w:rPr>
        <w:t>2</w:t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Universitat </w:t>
      </w:r>
      <w:proofErr w:type="spellStart"/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Autònoma</w:t>
      </w:r>
      <w:proofErr w:type="spellEnd"/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 de Barcelona, Dpt. Animal Health and Anatomy Veterinary Faculty, Barcelona, Spain</w:t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br/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val="en-US"/>
        </w:rPr>
        <w:t>3</w:t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Complejo </w:t>
      </w:r>
      <w:proofErr w:type="spellStart"/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hospitalario</w:t>
      </w:r>
      <w:proofErr w:type="spellEnd"/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 </w:t>
      </w:r>
      <w:proofErr w:type="spellStart"/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Ruber</w:t>
      </w:r>
      <w:proofErr w:type="spellEnd"/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 Juan Bravo, Unidad de </w:t>
      </w:r>
      <w:proofErr w:type="spellStart"/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Reproducción</w:t>
      </w:r>
      <w:proofErr w:type="spellEnd"/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 </w:t>
      </w:r>
      <w:proofErr w:type="spellStart"/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Asistida</w:t>
      </w:r>
      <w:proofErr w:type="spellEnd"/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, Madrid, Spain</w:t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br/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val="en-US"/>
        </w:rPr>
        <w:t>4</w:t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 xml:space="preserve">Ginemed, </w:t>
      </w:r>
      <w:proofErr w:type="spellStart"/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Reproduccion</w:t>
      </w:r>
      <w:proofErr w:type="spellEnd"/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 </w:t>
      </w:r>
      <w:proofErr w:type="spellStart"/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asistida</w:t>
      </w:r>
      <w:proofErr w:type="spellEnd"/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 </w:t>
      </w:r>
      <w:proofErr w:type="spellStart"/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en</w:t>
      </w:r>
      <w:proofErr w:type="spellEnd"/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 </w:t>
      </w:r>
      <w:proofErr w:type="spellStart"/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Clinicas</w:t>
      </w:r>
      <w:proofErr w:type="spellEnd"/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, Seville, Spain</w:t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br/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val="en-US"/>
        </w:rPr>
        <w:t>5</w:t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 xml:space="preserve">CER Santander, </w:t>
      </w:r>
      <w:proofErr w:type="spellStart"/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Medicina</w:t>
      </w:r>
      <w:proofErr w:type="spellEnd"/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 de la </w:t>
      </w:r>
      <w:proofErr w:type="spellStart"/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reproducción</w:t>
      </w:r>
      <w:proofErr w:type="spellEnd"/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, Cantabria, Spain</w:t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br/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vertAlign w:val="superscript"/>
          <w:lang w:val="en-US"/>
        </w:rPr>
        <w:t>6</w:t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t>Sinae, Research, Seville, Spain</w:t>
      </w:r>
      <w:r w:rsidRPr="007233B0">
        <w:rPr>
          <w:rFonts w:ascii="Arial" w:eastAsia="Times New Roman" w:hAnsi="Arial" w:cs="Arial"/>
          <w:i/>
          <w:iCs/>
          <w:color w:val="333333"/>
          <w:sz w:val="18"/>
          <w:szCs w:val="18"/>
          <w:lang w:val="en-US"/>
        </w:rPr>
        <w:br/>
      </w:r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br/>
      </w:r>
      <w:r w:rsidRPr="007233B0">
        <w:rPr>
          <w:rFonts w:ascii="Arial" w:eastAsia="Times New Roman" w:hAnsi="Arial" w:cs="Arial"/>
          <w:b/>
          <w:bCs/>
          <w:color w:val="333333"/>
          <w:sz w:val="18"/>
          <w:szCs w:val="18"/>
          <w:lang w:val="en-US"/>
        </w:rPr>
        <w:t>Study question:</w:t>
      </w:r>
    </w:p>
    <w:p w:rsidR="007233B0" w:rsidRPr="007233B0" w:rsidRDefault="007233B0" w:rsidP="007233B0">
      <w:pPr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t>Can we detect a biologically relevant quantity of </w:t>
      </w:r>
      <w:r w:rsidRPr="007233B0">
        <w:rPr>
          <w:rFonts w:ascii="Arial" w:eastAsia="Times New Roman" w:hAnsi="Arial" w:cs="Arial"/>
          <w:b/>
          <w:bCs/>
          <w:color w:val="333333"/>
          <w:sz w:val="18"/>
          <w:szCs w:val="18"/>
          <w:lang w:val="en-US"/>
        </w:rPr>
        <w:t>Anti-Mullerian Hormone (AMH)</w:t>
      </w:r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t> in human hair samples?</w:t>
      </w:r>
    </w:p>
    <w:p w:rsidR="007233B0" w:rsidRPr="007233B0" w:rsidRDefault="007233B0" w:rsidP="0072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33B0">
        <w:rPr>
          <w:rFonts w:ascii="Arial" w:eastAsia="Times New Roman" w:hAnsi="Arial" w:cs="Arial"/>
          <w:b/>
          <w:bCs/>
          <w:color w:val="333333"/>
          <w:sz w:val="18"/>
          <w:szCs w:val="18"/>
          <w:lang w:val="en-US"/>
        </w:rPr>
        <w:t>Summary answer:</w:t>
      </w:r>
    </w:p>
    <w:p w:rsidR="007233B0" w:rsidRPr="007233B0" w:rsidRDefault="007233B0" w:rsidP="007233B0">
      <w:pPr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t>AMH can be detected in human hair samples, and levels of AMH in hair are correlative to maternal age.</w:t>
      </w:r>
    </w:p>
    <w:p w:rsidR="007233B0" w:rsidRPr="007233B0" w:rsidRDefault="007233B0" w:rsidP="0072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33B0">
        <w:rPr>
          <w:rFonts w:ascii="Arial" w:eastAsia="Times New Roman" w:hAnsi="Arial" w:cs="Arial"/>
          <w:b/>
          <w:bCs/>
          <w:color w:val="333333"/>
          <w:sz w:val="18"/>
          <w:szCs w:val="18"/>
          <w:lang w:val="en-US"/>
        </w:rPr>
        <w:t>What is known already:</w:t>
      </w:r>
    </w:p>
    <w:p w:rsidR="007233B0" w:rsidRPr="007233B0" w:rsidRDefault="007233B0" w:rsidP="007233B0">
      <w:pPr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AMH is a product of granulosa cells of the preantral and small antral follicles in women. Hence, AMH is often used as a biomarker in assessing fertility. Typically, circulating levels of AMH are tested using blood samples obtained invasively through median cubital vein punctures. Hormone concentrations in hair may serve as a comparable and possibly superior means </w:t>
      </w:r>
      <w:proofErr w:type="gramStart"/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t>of  assaying</w:t>
      </w:r>
      <w:proofErr w:type="gramEnd"/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hormone levels accrued over longer periods of time. Detection of steroid hormones in hair has been used in </w:t>
      </w:r>
      <w:proofErr w:type="spellStart"/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t>psychoneuroendocrinological</w:t>
      </w:r>
      <w:proofErr w:type="spellEnd"/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studies in human and companion, farm and wild animals. This study represents the first quantification of AMH levels in hair in humans.</w:t>
      </w:r>
    </w:p>
    <w:p w:rsidR="007233B0" w:rsidRPr="007233B0" w:rsidRDefault="007233B0" w:rsidP="0072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33B0">
        <w:rPr>
          <w:rFonts w:ascii="Arial" w:eastAsia="Times New Roman" w:hAnsi="Arial" w:cs="Arial"/>
          <w:b/>
          <w:bCs/>
          <w:color w:val="333333"/>
          <w:sz w:val="18"/>
          <w:szCs w:val="18"/>
          <w:lang w:val="en-US"/>
        </w:rPr>
        <w:t>Study design, size, duration:</w:t>
      </w:r>
    </w:p>
    <w:p w:rsidR="007233B0" w:rsidRPr="007233B0" w:rsidRDefault="007233B0" w:rsidP="007233B0">
      <w:pPr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t>The study design was prospective in nature. A total of </w:t>
      </w:r>
      <w:r w:rsidRPr="007233B0">
        <w:rPr>
          <w:rFonts w:ascii="Arial" w:eastAsia="Times New Roman" w:hAnsi="Arial" w:cs="Arial"/>
          <w:b/>
          <w:bCs/>
          <w:color w:val="333333"/>
          <w:sz w:val="18"/>
          <w:szCs w:val="18"/>
          <w:lang w:val="en-US"/>
        </w:rPr>
        <w:t>(n=152)</w:t>
      </w:r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t> human female participants between the ages of </w:t>
      </w:r>
      <w:r w:rsidRPr="007233B0">
        <w:rPr>
          <w:rFonts w:ascii="Arial" w:eastAsia="Times New Roman" w:hAnsi="Arial" w:cs="Arial"/>
          <w:b/>
          <w:bCs/>
          <w:color w:val="333333"/>
          <w:sz w:val="18"/>
          <w:szCs w:val="18"/>
          <w:lang w:val="en-US"/>
        </w:rPr>
        <w:t>18-65 years</w:t>
      </w:r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t> were included in the study over a period of 10 months (recruitment ongoing).</w:t>
      </w:r>
    </w:p>
    <w:p w:rsidR="007233B0" w:rsidRPr="007233B0" w:rsidRDefault="007233B0" w:rsidP="0072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33B0">
        <w:rPr>
          <w:rFonts w:ascii="Arial" w:eastAsia="Times New Roman" w:hAnsi="Arial" w:cs="Arial"/>
          <w:b/>
          <w:bCs/>
          <w:color w:val="333333"/>
          <w:sz w:val="18"/>
          <w:szCs w:val="18"/>
          <w:lang w:val="en-US"/>
        </w:rPr>
        <w:t>Participants/materials, setting, methods:</w:t>
      </w:r>
    </w:p>
    <w:p w:rsidR="007233B0" w:rsidRPr="007233B0" w:rsidRDefault="007233B0" w:rsidP="007233B0">
      <w:pPr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t>Sample collection was performed in a clinical setting. Blood and hair samples were collected from patients by nurses. Hair follicles are not required. A doctor or a clinical technician performed the ultrasound for measuring the antral follicle count (AFC). Biologically active AMH was extracted from hair using a proprietary method. AMH presence in hair extract was confirmed using Western Blotting. AMH was measured in plasma and serum by ELISA.</w:t>
      </w:r>
    </w:p>
    <w:p w:rsidR="007233B0" w:rsidRPr="007233B0" w:rsidRDefault="007233B0" w:rsidP="0072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33B0">
        <w:rPr>
          <w:rFonts w:ascii="Arial" w:eastAsia="Times New Roman" w:hAnsi="Arial" w:cs="Arial"/>
          <w:b/>
          <w:bCs/>
          <w:color w:val="333333"/>
          <w:sz w:val="18"/>
          <w:szCs w:val="18"/>
          <w:lang w:val="en-US"/>
        </w:rPr>
        <w:t>Main results and the role of chance:</w:t>
      </w:r>
    </w:p>
    <w:p w:rsidR="007233B0" w:rsidRPr="007233B0" w:rsidRDefault="007233B0" w:rsidP="007233B0">
      <w:pPr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t>AMH was successfully detected in samples (n=152) via western blots on denatured gel with bands at 70kDa. An average level of </w:t>
      </w:r>
      <w:r w:rsidRPr="007233B0">
        <w:rPr>
          <w:rFonts w:ascii="Arial" w:eastAsia="Times New Roman" w:hAnsi="Arial" w:cs="Arial"/>
          <w:b/>
          <w:bCs/>
          <w:color w:val="333333"/>
          <w:sz w:val="18"/>
          <w:szCs w:val="18"/>
          <w:lang w:val="en-US"/>
        </w:rPr>
        <w:t xml:space="preserve">9.37 </w:t>
      </w:r>
      <w:proofErr w:type="spellStart"/>
      <w:r w:rsidRPr="007233B0">
        <w:rPr>
          <w:rFonts w:ascii="Arial" w:eastAsia="Times New Roman" w:hAnsi="Arial" w:cs="Arial"/>
          <w:b/>
          <w:bCs/>
          <w:color w:val="333333"/>
          <w:sz w:val="18"/>
          <w:szCs w:val="18"/>
          <w:lang w:val="en-US"/>
        </w:rPr>
        <w:t>pg</w:t>
      </w:r>
      <w:proofErr w:type="spellEnd"/>
      <w:r w:rsidRPr="007233B0">
        <w:rPr>
          <w:rFonts w:ascii="Arial" w:eastAsia="Times New Roman" w:hAnsi="Arial" w:cs="Arial"/>
          <w:b/>
          <w:bCs/>
          <w:color w:val="333333"/>
          <w:sz w:val="18"/>
          <w:szCs w:val="18"/>
          <w:lang w:val="en-US"/>
        </w:rPr>
        <w:t>/ml (95%CI 6.77-12)</w:t>
      </w:r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t> was detected in hair and </w:t>
      </w:r>
      <w:r w:rsidRPr="007233B0">
        <w:rPr>
          <w:rFonts w:ascii="Arial" w:eastAsia="Times New Roman" w:hAnsi="Arial" w:cs="Arial"/>
          <w:b/>
          <w:bCs/>
          <w:color w:val="333333"/>
          <w:sz w:val="18"/>
          <w:szCs w:val="18"/>
          <w:lang w:val="en-US"/>
        </w:rPr>
        <w:t>3.68 ng/ml (95%CI 2.79-4.56)</w:t>
      </w:r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t> in serum in </w:t>
      </w:r>
      <w:r w:rsidRPr="007233B0">
        <w:rPr>
          <w:rFonts w:ascii="Arial" w:eastAsia="Times New Roman" w:hAnsi="Arial" w:cs="Arial"/>
          <w:b/>
          <w:bCs/>
          <w:color w:val="333333"/>
          <w:sz w:val="18"/>
          <w:szCs w:val="18"/>
          <w:lang w:val="en-US"/>
        </w:rPr>
        <w:t>age-group &lt;25 yrs.</w:t>
      </w:r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 This </w:t>
      </w:r>
      <w:proofErr w:type="gramStart"/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t>is in contrast to</w:t>
      </w:r>
      <w:proofErr w:type="gramEnd"/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the age group </w:t>
      </w:r>
      <w:r w:rsidRPr="007233B0">
        <w:rPr>
          <w:rFonts w:ascii="Arial" w:eastAsia="Times New Roman" w:hAnsi="Arial" w:cs="Arial"/>
          <w:b/>
          <w:bCs/>
          <w:color w:val="333333"/>
          <w:sz w:val="18"/>
          <w:szCs w:val="18"/>
          <w:lang w:val="en-US"/>
        </w:rPr>
        <w:t>&gt;39 years</w:t>
      </w:r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t>, within which a mean of </w:t>
      </w:r>
      <w:r w:rsidRPr="007233B0">
        <w:rPr>
          <w:rFonts w:ascii="Arial" w:eastAsia="Times New Roman" w:hAnsi="Arial" w:cs="Arial"/>
          <w:b/>
          <w:bCs/>
          <w:color w:val="333333"/>
          <w:sz w:val="18"/>
          <w:szCs w:val="18"/>
          <w:lang w:val="en-US"/>
        </w:rPr>
        <w:t xml:space="preserve">3.02 </w:t>
      </w:r>
      <w:proofErr w:type="spellStart"/>
      <w:r w:rsidRPr="007233B0">
        <w:rPr>
          <w:rFonts w:ascii="Arial" w:eastAsia="Times New Roman" w:hAnsi="Arial" w:cs="Arial"/>
          <w:b/>
          <w:bCs/>
          <w:color w:val="333333"/>
          <w:sz w:val="18"/>
          <w:szCs w:val="18"/>
          <w:lang w:val="en-US"/>
        </w:rPr>
        <w:t>pg</w:t>
      </w:r>
      <w:proofErr w:type="spellEnd"/>
      <w:r w:rsidRPr="007233B0">
        <w:rPr>
          <w:rFonts w:ascii="Arial" w:eastAsia="Times New Roman" w:hAnsi="Arial" w:cs="Arial"/>
          <w:b/>
          <w:bCs/>
          <w:color w:val="333333"/>
          <w:sz w:val="18"/>
          <w:szCs w:val="18"/>
          <w:lang w:val="en-US"/>
        </w:rPr>
        <w:t>/ml (95%CI 2.19-3.85)</w:t>
      </w:r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t> AMH detected in hair and </w:t>
      </w:r>
      <w:r w:rsidRPr="007233B0">
        <w:rPr>
          <w:rFonts w:ascii="Arial" w:eastAsia="Times New Roman" w:hAnsi="Arial" w:cs="Arial"/>
          <w:b/>
          <w:bCs/>
          <w:color w:val="333333"/>
          <w:sz w:val="18"/>
          <w:szCs w:val="18"/>
          <w:lang w:val="en-US"/>
        </w:rPr>
        <w:t>0.92 ng/ml (95%CI 0.43-1.41)</w:t>
      </w:r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t> in serum samples. AMH measured in hair correlated with age more strongly than plasma AMH </w:t>
      </w:r>
      <w:r w:rsidRPr="007233B0">
        <w:rPr>
          <w:rFonts w:ascii="Arial" w:eastAsia="Times New Roman" w:hAnsi="Arial" w:cs="Arial"/>
          <w:b/>
          <w:bCs/>
          <w:color w:val="333333"/>
          <w:sz w:val="18"/>
          <w:szCs w:val="18"/>
          <w:lang w:val="en-US"/>
        </w:rPr>
        <w:t>(p-value =1.26 x10-5 (hair), p-value 0.088 (serum)</w:t>
      </w:r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t>). AMH levels in hair also strongly correlated with antral follicle count (AFC).</w:t>
      </w:r>
    </w:p>
    <w:p w:rsidR="007233B0" w:rsidRPr="007233B0" w:rsidRDefault="007233B0" w:rsidP="0072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33B0">
        <w:rPr>
          <w:rFonts w:ascii="Arial" w:eastAsia="Times New Roman" w:hAnsi="Arial" w:cs="Arial"/>
          <w:b/>
          <w:bCs/>
          <w:color w:val="333333"/>
          <w:sz w:val="18"/>
          <w:szCs w:val="18"/>
          <w:lang w:val="en-US"/>
        </w:rPr>
        <w:t>Limitations, reasons for caution:</w:t>
      </w:r>
    </w:p>
    <w:p w:rsidR="007233B0" w:rsidRPr="007233B0" w:rsidRDefault="007233B0" w:rsidP="007233B0">
      <w:pPr>
        <w:spacing w:after="225" w:line="240" w:lineRule="auto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Hair is a medium that can accumulate biomarkers </w:t>
      </w:r>
      <w:proofErr w:type="gramStart"/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t>over  several</w:t>
      </w:r>
      <w:proofErr w:type="gramEnd"/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t xml:space="preserve"> weeks, while serum is an acute matrix representing only current levels. Range of detection of AMH in hair was wide within individuals from a similar age cohort. AFC testing was included in the study laterally and has limited data points.</w:t>
      </w:r>
    </w:p>
    <w:p w:rsidR="007233B0" w:rsidRPr="007233B0" w:rsidRDefault="007233B0" w:rsidP="007233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7233B0">
        <w:rPr>
          <w:rFonts w:ascii="Arial" w:eastAsia="Times New Roman" w:hAnsi="Arial" w:cs="Arial"/>
          <w:b/>
          <w:bCs/>
          <w:color w:val="333333"/>
          <w:sz w:val="18"/>
          <w:szCs w:val="18"/>
          <w:lang w:val="en-US"/>
        </w:rPr>
        <w:t>Wider implications of the findings:</w:t>
      </w:r>
    </w:p>
    <w:p w:rsidR="007233B0" w:rsidRPr="007233B0" w:rsidRDefault="007233B0" w:rsidP="007233B0">
      <w:pPr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val="en-US"/>
        </w:rPr>
      </w:pPr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t>We have a novel method of detecting AMH in a longitudinal matrix (hair) that could be a more appropriate representation of hormone levels compared to acute matrices like serum or saliva. Moreover, our method is also the only truly non-invasive method for testing fertility hormones.</w:t>
      </w:r>
    </w:p>
    <w:p w:rsidR="00197065" w:rsidRPr="007233B0" w:rsidRDefault="007233B0" w:rsidP="007233B0">
      <w:pPr>
        <w:rPr>
          <w:lang w:val="en-US"/>
        </w:rPr>
      </w:pPr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br/>
      </w:r>
      <w:r w:rsidRPr="007233B0">
        <w:rPr>
          <w:rFonts w:ascii="Arial" w:eastAsia="Times New Roman" w:hAnsi="Arial" w:cs="Arial"/>
          <w:b/>
          <w:bCs/>
          <w:color w:val="333333"/>
          <w:sz w:val="18"/>
          <w:szCs w:val="18"/>
          <w:lang w:val="en-US"/>
        </w:rPr>
        <w:t>Trial registration number: </w:t>
      </w:r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t>Not Applicable</w:t>
      </w:r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br/>
      </w:r>
      <w:r w:rsidRPr="007233B0">
        <w:rPr>
          <w:rFonts w:ascii="Arial" w:eastAsia="Times New Roman" w:hAnsi="Arial" w:cs="Arial"/>
          <w:b/>
          <w:bCs/>
          <w:color w:val="333333"/>
          <w:sz w:val="18"/>
          <w:szCs w:val="18"/>
          <w:lang w:val="en-US"/>
        </w:rPr>
        <w:t>Study funding:</w:t>
      </w:r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t> No</w:t>
      </w:r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br/>
      </w:r>
      <w:r w:rsidRPr="007233B0">
        <w:rPr>
          <w:rFonts w:ascii="Arial" w:eastAsia="Times New Roman" w:hAnsi="Arial" w:cs="Arial"/>
          <w:b/>
          <w:bCs/>
          <w:color w:val="333333"/>
          <w:sz w:val="18"/>
          <w:szCs w:val="18"/>
          <w:lang w:val="en-US"/>
        </w:rPr>
        <w:t>Funding source:</w:t>
      </w:r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t> Funding by commercial/corporate company(</w:t>
      </w:r>
      <w:proofErr w:type="spellStart"/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t>ies</w:t>
      </w:r>
      <w:proofErr w:type="spellEnd"/>
      <w:r w:rsidRPr="007233B0">
        <w:rPr>
          <w:rFonts w:ascii="Arial" w:eastAsia="Times New Roman" w:hAnsi="Arial" w:cs="Arial"/>
          <w:color w:val="333333"/>
          <w:sz w:val="18"/>
          <w:szCs w:val="18"/>
          <w:lang w:val="en-US"/>
        </w:rPr>
        <w:t>)</w:t>
      </w:r>
    </w:p>
    <w:sectPr w:rsidR="00197065" w:rsidRPr="007233B0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3B0"/>
    <w:rsid w:val="00197065"/>
    <w:rsid w:val="00723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DFBCBF0-C347-408A-B029-E011113F4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233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7233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71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Bauquis</dc:creator>
  <cp:keywords/>
  <dc:description/>
  <cp:lastModifiedBy>Christine Bauquis</cp:lastModifiedBy>
  <cp:revision>1</cp:revision>
  <dcterms:created xsi:type="dcterms:W3CDTF">2020-06-29T16:29:00Z</dcterms:created>
  <dcterms:modified xsi:type="dcterms:W3CDTF">2020-06-29T16:30:00Z</dcterms:modified>
</cp:coreProperties>
</file>